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669" w:rsidRDefault="00D96669" w:rsidP="00D96669">
      <w:pPr>
        <w:jc w:val="center"/>
        <w:rPr>
          <w:rFonts w:ascii="黑体" w:eastAsia="黑体" w:hAnsi="黑体"/>
          <w:b/>
          <w:color w:val="00B0F0"/>
          <w:sz w:val="30"/>
          <w:szCs w:val="30"/>
        </w:rPr>
      </w:pPr>
      <w:r w:rsidRPr="00993042">
        <w:rPr>
          <w:rFonts w:ascii="黑体" w:eastAsia="黑体" w:hAnsi="黑体" w:hint="eastAsia"/>
          <w:b/>
          <w:color w:val="00B0F0"/>
          <w:sz w:val="32"/>
          <w:szCs w:val="32"/>
        </w:rPr>
        <w:t>——</w:t>
      </w:r>
      <w:r>
        <w:rPr>
          <w:rFonts w:ascii="黑体" w:eastAsia="黑体" w:hAnsi="黑体"/>
          <w:b/>
          <w:color w:val="00B0F0"/>
          <w:sz w:val="32"/>
          <w:szCs w:val="32"/>
        </w:rPr>
        <w:t>——————</w:t>
      </w:r>
      <w:r>
        <w:rPr>
          <w:rFonts w:ascii="黑体" w:eastAsia="黑体" w:hAnsi="黑体"/>
          <w:sz w:val="30"/>
          <w:szCs w:val="30"/>
        </w:rPr>
        <w:t xml:space="preserve"> </w:t>
      </w:r>
      <w:r w:rsidRPr="00993042">
        <w:rPr>
          <w:rFonts w:ascii="黑体" w:eastAsia="黑体" w:hAnsi="黑体" w:hint="eastAsia"/>
          <w:sz w:val="30"/>
          <w:szCs w:val="30"/>
        </w:rPr>
        <w:t>青岛市特种设备</w:t>
      </w:r>
      <w:r w:rsidRPr="00993042">
        <w:rPr>
          <w:rFonts w:ascii="黑体" w:eastAsia="黑体" w:hAnsi="黑体"/>
          <w:sz w:val="30"/>
          <w:szCs w:val="30"/>
        </w:rPr>
        <w:t>协会</w:t>
      </w:r>
      <w:r>
        <w:rPr>
          <w:rFonts w:ascii="黑体" w:eastAsia="黑体" w:hAnsi="黑体" w:hint="eastAsia"/>
          <w:sz w:val="30"/>
          <w:szCs w:val="30"/>
        </w:rPr>
        <w:t xml:space="preserve"> </w:t>
      </w:r>
      <w:r w:rsidRPr="00993042">
        <w:rPr>
          <w:rFonts w:ascii="黑体" w:eastAsia="黑体" w:hAnsi="黑体" w:hint="eastAsia"/>
          <w:b/>
          <w:color w:val="00B0F0"/>
          <w:sz w:val="32"/>
          <w:szCs w:val="32"/>
        </w:rPr>
        <w:t>——</w:t>
      </w:r>
      <w:r>
        <w:rPr>
          <w:rFonts w:ascii="黑体" w:eastAsia="黑体" w:hAnsi="黑体" w:hint="eastAsia"/>
          <w:b/>
          <w:color w:val="00B0F0"/>
          <w:sz w:val="32"/>
          <w:szCs w:val="32"/>
        </w:rPr>
        <w:t>-</w:t>
      </w:r>
      <w:r>
        <w:rPr>
          <w:rFonts w:ascii="黑体" w:eastAsia="黑体" w:hAnsi="黑体"/>
          <w:b/>
          <w:color w:val="00B0F0"/>
          <w:sz w:val="32"/>
          <w:szCs w:val="32"/>
        </w:rPr>
        <w:t>—————</w:t>
      </w:r>
      <w:r w:rsidRPr="00993042">
        <w:rPr>
          <w:rFonts w:ascii="黑体" w:eastAsia="黑体" w:hAnsi="黑体"/>
          <w:b/>
          <w:color w:val="00B0F0"/>
          <w:sz w:val="30"/>
          <w:szCs w:val="30"/>
        </w:rPr>
        <w:t>-</w:t>
      </w:r>
    </w:p>
    <w:p w:rsidR="00D96669" w:rsidRPr="00C531E9" w:rsidRDefault="00D96669" w:rsidP="00D96669">
      <w:pPr>
        <w:jc w:val="center"/>
        <w:rPr>
          <w:rFonts w:ascii="黑体" w:eastAsia="黑体" w:hAnsi="黑体"/>
          <w:szCs w:val="21"/>
        </w:rPr>
      </w:pPr>
    </w:p>
    <w:p w:rsidR="00D96669" w:rsidRDefault="009B7358" w:rsidP="00D96669">
      <w:pPr>
        <w:jc w:val="center"/>
        <w:rPr>
          <w:rFonts w:ascii="方正隶二简体" w:eastAsia="方正隶二简体" w:hAnsi="黑体"/>
          <w:color w:val="C00000"/>
          <w:sz w:val="96"/>
          <w:szCs w:val="96"/>
        </w:rPr>
      </w:pPr>
      <w:r>
        <w:rPr>
          <w:rFonts w:ascii="方正隶二简体" w:eastAsia="方正隶二简体" w:hAnsi="黑体"/>
          <w:noProof/>
          <w:color w:val="C00000"/>
          <w:kern w:val="0"/>
          <w:sz w:val="96"/>
          <w:szCs w:val="96"/>
        </w:rPr>
        <w:drawing>
          <wp:inline distT="0" distB="0" distL="0" distR="0">
            <wp:extent cx="485775" cy="504825"/>
            <wp:effectExtent l="0" t="0" r="9525" b="9525"/>
            <wp:docPr id="2" name="图片 2" descr="协会徽标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协会徽标3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504825"/>
                    </a:xfrm>
                    <a:prstGeom prst="rect">
                      <a:avLst/>
                    </a:prstGeom>
                    <a:noFill/>
                    <a:ln>
                      <a:noFill/>
                    </a:ln>
                  </pic:spPr>
                </pic:pic>
              </a:graphicData>
            </a:graphic>
          </wp:inline>
        </w:drawing>
      </w:r>
      <w:r>
        <w:rPr>
          <w:rFonts w:ascii="方正隶二简体" w:eastAsia="方正隶二简体" w:hAnsi="黑体" w:hint="eastAsia"/>
          <w:color w:val="C00000"/>
          <w:kern w:val="0"/>
          <w:sz w:val="30"/>
          <w:szCs w:val="30"/>
        </w:rPr>
        <w:t xml:space="preserve"> </w:t>
      </w:r>
      <w:r>
        <w:rPr>
          <w:rFonts w:ascii="方正隶二简体" w:eastAsia="方正隶二简体" w:hAnsi="黑体" w:hint="eastAsia"/>
          <w:color w:val="C00000"/>
          <w:kern w:val="0"/>
          <w:sz w:val="90"/>
          <w:szCs w:val="90"/>
        </w:rPr>
        <w:t>特种设备协会简报</w:t>
      </w:r>
    </w:p>
    <w:p w:rsidR="00D96669" w:rsidRPr="00FA3FC7" w:rsidRDefault="00D96669" w:rsidP="00D96669">
      <w:pPr>
        <w:jc w:val="center"/>
        <w:rPr>
          <w:rFonts w:asciiTheme="minorEastAsia" w:hAnsiTheme="minorEastAsia"/>
          <w:b/>
          <w:sz w:val="36"/>
          <w:szCs w:val="36"/>
        </w:rPr>
      </w:pPr>
      <w:r w:rsidRPr="00FA3FC7">
        <w:rPr>
          <w:rFonts w:ascii="黑体" w:eastAsia="黑体" w:hAnsi="黑体" w:hint="eastAsia"/>
          <w:sz w:val="36"/>
          <w:szCs w:val="36"/>
        </w:rPr>
        <w:t>2014年</w:t>
      </w:r>
      <w:r w:rsidRPr="00FA3FC7">
        <w:rPr>
          <w:rFonts w:ascii="黑体" w:eastAsia="黑体" w:hAnsi="黑体"/>
          <w:sz w:val="36"/>
          <w:szCs w:val="36"/>
        </w:rPr>
        <w:t>第</w:t>
      </w:r>
      <w:r>
        <w:rPr>
          <w:rFonts w:ascii="黑体" w:eastAsia="黑体" w:hAnsi="黑体" w:hint="eastAsia"/>
          <w:sz w:val="36"/>
          <w:szCs w:val="36"/>
        </w:rPr>
        <w:t>二</w:t>
      </w:r>
      <w:r w:rsidRPr="00FA3FC7">
        <w:rPr>
          <w:rFonts w:ascii="黑体" w:eastAsia="黑体" w:hAnsi="黑体"/>
          <w:sz w:val="36"/>
          <w:szCs w:val="36"/>
        </w:rPr>
        <w:t>期</w:t>
      </w:r>
      <w:r w:rsidRPr="00FA3FC7">
        <w:rPr>
          <w:rFonts w:ascii="黑体" w:eastAsia="黑体" w:hAnsi="黑体" w:hint="eastAsia"/>
          <w:sz w:val="36"/>
          <w:szCs w:val="36"/>
        </w:rPr>
        <w:t xml:space="preserve">  总</w:t>
      </w:r>
      <w:r w:rsidRPr="00FA3FC7">
        <w:rPr>
          <w:rFonts w:ascii="黑体" w:eastAsia="黑体" w:hAnsi="黑体"/>
          <w:sz w:val="36"/>
          <w:szCs w:val="36"/>
        </w:rPr>
        <w:t>第</w:t>
      </w:r>
      <w:r>
        <w:rPr>
          <w:rFonts w:ascii="黑体" w:eastAsia="黑体" w:hAnsi="黑体" w:hint="eastAsia"/>
          <w:sz w:val="36"/>
          <w:szCs w:val="36"/>
        </w:rPr>
        <w:t>二</w:t>
      </w:r>
      <w:r w:rsidRPr="00FA3FC7">
        <w:rPr>
          <w:rFonts w:ascii="黑体" w:eastAsia="黑体" w:hAnsi="黑体"/>
          <w:sz w:val="36"/>
          <w:szCs w:val="36"/>
        </w:rPr>
        <w:t>期</w:t>
      </w:r>
    </w:p>
    <w:p w:rsidR="00D96669" w:rsidRDefault="00D96669" w:rsidP="00D96669">
      <w:pPr>
        <w:rPr>
          <w:rFonts w:ascii="黑体" w:eastAsia="黑体" w:hAnsi="黑体"/>
          <w:sz w:val="24"/>
          <w:szCs w:val="24"/>
        </w:rPr>
      </w:pPr>
    </w:p>
    <w:p w:rsidR="00D96669" w:rsidRDefault="00D96669" w:rsidP="00EC610E">
      <w:pPr>
        <w:jc w:val="left"/>
        <w:rPr>
          <w:rFonts w:ascii="黑体" w:eastAsia="黑体" w:hAnsi="黑体"/>
          <w:sz w:val="24"/>
          <w:szCs w:val="24"/>
        </w:rPr>
      </w:pPr>
      <w:r w:rsidRPr="00F64E6B">
        <w:rPr>
          <w:rFonts w:ascii="黑体" w:eastAsia="黑体" w:hAnsi="黑体" w:hint="eastAsia"/>
          <w:sz w:val="24"/>
          <w:szCs w:val="24"/>
        </w:rPr>
        <w:t>地址</w:t>
      </w:r>
      <w:r w:rsidRPr="00F64E6B">
        <w:rPr>
          <w:rFonts w:ascii="黑体" w:eastAsia="黑体" w:hAnsi="黑体"/>
          <w:sz w:val="24"/>
          <w:szCs w:val="24"/>
        </w:rPr>
        <w:t>：青岛市市南区山东路</w:t>
      </w:r>
      <w:r w:rsidRPr="00F64E6B">
        <w:rPr>
          <w:rFonts w:ascii="黑体" w:eastAsia="黑体" w:hAnsi="黑体" w:hint="eastAsia"/>
          <w:sz w:val="24"/>
          <w:szCs w:val="24"/>
        </w:rPr>
        <w:t>15号</w:t>
      </w:r>
      <w:r w:rsidR="00EC610E">
        <w:rPr>
          <w:rFonts w:ascii="黑体" w:eastAsia="黑体" w:hAnsi="黑体" w:hint="eastAsia"/>
          <w:sz w:val="24"/>
          <w:szCs w:val="24"/>
        </w:rPr>
        <w:t xml:space="preserve">                             </w:t>
      </w:r>
      <w:r w:rsidR="00EC610E" w:rsidRPr="00EC610E">
        <w:rPr>
          <w:rFonts w:asciiTheme="minorEastAsia" w:hAnsiTheme="minorEastAsia" w:hint="eastAsia"/>
          <w:sz w:val="24"/>
          <w:szCs w:val="24"/>
        </w:rPr>
        <w:t>2014年6月</w:t>
      </w:r>
    </w:p>
    <w:p w:rsidR="00D96669" w:rsidRPr="00F64E6B" w:rsidRDefault="00D96669" w:rsidP="00D96669">
      <w:pPr>
        <w:rPr>
          <w:rFonts w:ascii="黑体" w:eastAsia="黑体" w:hAnsi="黑体"/>
          <w:sz w:val="24"/>
          <w:szCs w:val="24"/>
        </w:rPr>
      </w:pPr>
      <w:r>
        <w:rPr>
          <w:rFonts w:ascii="黑体" w:eastAsia="黑体" w:hAnsi="黑体" w:hint="eastAsia"/>
          <w:sz w:val="24"/>
          <w:szCs w:val="24"/>
        </w:rPr>
        <w:t>电话（传真</w:t>
      </w:r>
      <w:r>
        <w:rPr>
          <w:rFonts w:ascii="黑体" w:eastAsia="黑体" w:hAnsi="黑体"/>
          <w:sz w:val="24"/>
          <w:szCs w:val="24"/>
        </w:rPr>
        <w:t>）：</w:t>
      </w:r>
      <w:r>
        <w:rPr>
          <w:rFonts w:ascii="黑体" w:eastAsia="黑体" w:hAnsi="黑体" w:hint="eastAsia"/>
          <w:sz w:val="24"/>
          <w:szCs w:val="24"/>
        </w:rPr>
        <w:t>0532</w:t>
      </w:r>
      <w:r>
        <w:rPr>
          <w:rFonts w:ascii="黑体" w:eastAsia="黑体" w:hAnsi="黑体"/>
          <w:sz w:val="24"/>
          <w:szCs w:val="24"/>
        </w:rPr>
        <w:t xml:space="preserve">-85815622                           </w:t>
      </w:r>
      <w:r w:rsidRPr="00FA3FC7">
        <w:rPr>
          <w:rFonts w:ascii="黑体" w:eastAsia="黑体" w:hAnsi="黑体"/>
          <w:b/>
          <w:sz w:val="24"/>
          <w:szCs w:val="24"/>
        </w:rPr>
        <w:t xml:space="preserve"> </w:t>
      </w:r>
      <w:r w:rsidRPr="00FA3FC7">
        <w:rPr>
          <w:rFonts w:asciiTheme="minorEastAsia" w:hAnsiTheme="minorEastAsia" w:hint="eastAsia"/>
          <w:b/>
          <w:szCs w:val="21"/>
        </w:rPr>
        <w:t>内部</w:t>
      </w:r>
      <w:r w:rsidRPr="00FA3FC7">
        <w:rPr>
          <w:rFonts w:asciiTheme="minorEastAsia" w:hAnsiTheme="minorEastAsia"/>
          <w:b/>
          <w:szCs w:val="21"/>
        </w:rPr>
        <w:t>刊</w:t>
      </w:r>
      <w:r w:rsidRPr="00FA3FC7">
        <w:rPr>
          <w:rFonts w:asciiTheme="minorEastAsia" w:hAnsiTheme="minorEastAsia" w:hint="eastAsia"/>
          <w:b/>
          <w:szCs w:val="21"/>
        </w:rPr>
        <w:t>物 免费</w:t>
      </w:r>
      <w:r w:rsidRPr="00FA3FC7">
        <w:rPr>
          <w:rFonts w:asciiTheme="minorEastAsia" w:hAnsiTheme="minorEastAsia"/>
          <w:b/>
          <w:szCs w:val="21"/>
        </w:rPr>
        <w:t>赠阅</w:t>
      </w:r>
    </w:p>
    <w:p w:rsidR="00D96669" w:rsidRDefault="00D96669" w:rsidP="00D96669">
      <w:pPr>
        <w:rPr>
          <w:rFonts w:asciiTheme="minorEastAsia" w:hAnsiTheme="minorEastAsia"/>
          <w:color w:val="00B0F0"/>
          <w:sz w:val="32"/>
          <w:szCs w:val="32"/>
        </w:rPr>
      </w:pPr>
      <w:r w:rsidRPr="00095445">
        <w:rPr>
          <w:rFonts w:asciiTheme="minorEastAsia" w:hAnsiTheme="minorEastAsia" w:hint="eastAsia"/>
          <w:noProof/>
          <w:color w:val="00B050"/>
          <w:sz w:val="32"/>
          <w:szCs w:val="32"/>
        </w:rPr>
        <mc:AlternateContent>
          <mc:Choice Requires="wps">
            <w:drawing>
              <wp:anchor distT="0" distB="0" distL="114300" distR="114300" simplePos="0" relativeHeight="251659264" behindDoc="0" locked="0" layoutInCell="1" allowOverlap="1" wp14:anchorId="396D2BE3" wp14:editId="2C397211">
                <wp:simplePos x="0" y="0"/>
                <wp:positionH relativeFrom="margin">
                  <wp:align>right</wp:align>
                </wp:positionH>
                <wp:positionV relativeFrom="paragraph">
                  <wp:posOffset>45720</wp:posOffset>
                </wp:positionV>
                <wp:extent cx="5267325" cy="114300"/>
                <wp:effectExtent l="0" t="0" r="28575" b="19050"/>
                <wp:wrapNone/>
                <wp:docPr id="5" name="矩形 5"/>
                <wp:cNvGraphicFramePr/>
                <a:graphic xmlns:a="http://schemas.openxmlformats.org/drawingml/2006/main">
                  <a:graphicData uri="http://schemas.microsoft.com/office/word/2010/wordprocessingShape">
                    <wps:wsp>
                      <wps:cNvSpPr/>
                      <wps:spPr>
                        <a:xfrm>
                          <a:off x="0" y="0"/>
                          <a:ext cx="5267325" cy="114300"/>
                        </a:xfrm>
                        <a:prstGeom prst="rect">
                          <a:avLst/>
                        </a:prstGeom>
                        <a:solidFill>
                          <a:schemeClr val="bg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A3108" id="矩形 5" o:spid="_x0000_s1026" style="position:absolute;left:0;text-align:left;margin-left:363.55pt;margin-top:3.6pt;width:414.75pt;height:9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" fillcolor="#bfbfbf [2412]" strokecolor="#1f4d78 [1604]" strokeweight="1pt">
                <w10:wrap anchorx="margin"/>
              </v:rect>
            </w:pict>
          </mc:Fallback>
        </mc:AlternateContent>
      </w:r>
    </w:p>
    <w:p w:rsidR="00C0441E" w:rsidRPr="004E276A" w:rsidRDefault="00C0441E">
      <w:pPr>
        <w:rPr>
          <w:sz w:val="28"/>
          <w:szCs w:val="28"/>
        </w:rPr>
      </w:pPr>
    </w:p>
    <w:p w:rsidR="004E276A" w:rsidRPr="004E276A" w:rsidRDefault="004E276A">
      <w:pPr>
        <w:rPr>
          <w:rFonts w:ascii="黑体" w:eastAsia="黑体" w:hAnsi="黑体"/>
          <w:sz w:val="28"/>
          <w:szCs w:val="28"/>
          <w:shd w:val="pct15" w:color="auto" w:fill="FFFFFF"/>
        </w:rPr>
      </w:pPr>
      <w:r w:rsidRPr="004E276A">
        <w:rPr>
          <w:rFonts w:ascii="黑体" w:eastAsia="黑体" w:hAnsi="黑体" w:hint="eastAsia"/>
          <w:sz w:val="28"/>
          <w:szCs w:val="28"/>
          <w:shd w:val="pct15" w:color="auto" w:fill="FFFFFF"/>
        </w:rPr>
        <w:t>政策</w:t>
      </w:r>
      <w:r w:rsidRPr="004E276A">
        <w:rPr>
          <w:rFonts w:ascii="黑体" w:eastAsia="黑体" w:hAnsi="黑体"/>
          <w:sz w:val="28"/>
          <w:szCs w:val="28"/>
          <w:shd w:val="pct15" w:color="auto" w:fill="FFFFFF"/>
        </w:rPr>
        <w:t>法规</w:t>
      </w:r>
    </w:p>
    <w:p w:rsidR="004E276A" w:rsidRPr="004E276A" w:rsidRDefault="004E276A">
      <w:pPr>
        <w:rPr>
          <w:sz w:val="28"/>
          <w:szCs w:val="28"/>
        </w:rPr>
      </w:pPr>
    </w:p>
    <w:p w:rsidR="00C41B2F" w:rsidRDefault="00C41B2F" w:rsidP="00C41B2F">
      <w:pPr>
        <w:pStyle w:val="a3"/>
        <w:jc w:val="center"/>
        <w:rPr>
          <w:rFonts w:ascii="方正小标宋简体" w:eastAsia="方正小标宋简体"/>
          <w:sz w:val="36"/>
          <w:szCs w:val="36"/>
        </w:rPr>
      </w:pPr>
      <w:r w:rsidRPr="00C41B2F">
        <w:rPr>
          <w:rFonts w:ascii="方正小标宋简体" w:eastAsia="方正小标宋简体" w:hint="eastAsia"/>
          <w:sz w:val="36"/>
          <w:szCs w:val="36"/>
        </w:rPr>
        <w:t>质检总局关于进一步加强电梯安全工作的意见</w:t>
      </w:r>
    </w:p>
    <w:p w:rsidR="00C41B2F" w:rsidRPr="00C41B2F" w:rsidRDefault="00C41B2F" w:rsidP="00C41B2F">
      <w:pPr>
        <w:pStyle w:val="a3"/>
        <w:jc w:val="center"/>
        <w:rPr>
          <w:rFonts w:ascii="方正小标宋简体" w:eastAsia="方正小标宋简体"/>
          <w:sz w:val="36"/>
          <w:szCs w:val="36"/>
        </w:rPr>
      </w:pPr>
      <w:r w:rsidRPr="00C41B2F">
        <w:rPr>
          <w:rFonts w:ascii="方正小标宋简体" w:eastAsia="方正小标宋简体" w:hint="eastAsia"/>
          <w:sz w:val="36"/>
          <w:szCs w:val="36"/>
        </w:rPr>
        <w:t>（国质检特〔2013〕14号）</w:t>
      </w:r>
    </w:p>
    <w:p w:rsidR="00C41B2F" w:rsidRPr="00C41B2F" w:rsidRDefault="00C41B2F" w:rsidP="00C41B2F">
      <w:pPr>
        <w:pStyle w:val="a3"/>
        <w:spacing w:line="360" w:lineRule="auto"/>
        <w:jc w:val="center"/>
        <w:rPr>
          <w:sz w:val="24"/>
          <w:szCs w:val="24"/>
        </w:rPr>
      </w:pPr>
      <w:r w:rsidRPr="00C41B2F">
        <w:rPr>
          <w:sz w:val="24"/>
          <w:szCs w:val="24"/>
        </w:rPr>
        <w:t>2014-03-24</w:t>
      </w:r>
    </w:p>
    <w:p w:rsidR="00C41B2F" w:rsidRPr="00C41B2F" w:rsidRDefault="00C41B2F" w:rsidP="004E276A">
      <w:pPr>
        <w:pStyle w:val="a3"/>
        <w:spacing w:line="440" w:lineRule="exact"/>
        <w:rPr>
          <w:sz w:val="24"/>
          <w:szCs w:val="24"/>
        </w:rPr>
      </w:pPr>
      <w:r w:rsidRPr="00C41B2F">
        <w:rPr>
          <w:sz w:val="24"/>
          <w:szCs w:val="24"/>
        </w:rPr>
        <w:t> </w:t>
      </w:r>
    </w:p>
    <w:p w:rsidR="00C41B2F" w:rsidRPr="00C41B2F" w:rsidRDefault="00C41B2F" w:rsidP="004E276A">
      <w:pPr>
        <w:pStyle w:val="a3"/>
        <w:spacing w:line="440" w:lineRule="exact"/>
        <w:rPr>
          <w:sz w:val="24"/>
          <w:szCs w:val="24"/>
        </w:rPr>
      </w:pPr>
      <w:r w:rsidRPr="00C41B2F">
        <w:rPr>
          <w:rFonts w:hint="eastAsia"/>
          <w:sz w:val="24"/>
          <w:szCs w:val="24"/>
        </w:rPr>
        <w:t>各省、自治区、直辖市及新疆生产建设兵团质量技术监督局：</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随着我国城镇化的发展，电梯数量快速增长，电梯使用愈加频繁，电梯安全直接关系人民群众的生命安全和生活质量，越来越引起群众、媒体和各级政府的关注。近年来，各级质检部门通过完善规范和标准、加强监督检查和检验检测、开展隐患排查和专项整治等一系列措施，使得我国电梯事故万台死亡人数趋于平稳下降，安全态势持续保持总体稳定。但是，由于部分电梯使用管理和维保不到位、作业人员违规操作、乘客或监护人自身安全意识淡漠等问题，电梯事故还时</w:t>
      </w:r>
      <w:bookmarkStart w:id="0" w:name="_GoBack"/>
      <w:bookmarkEnd w:id="0"/>
      <w:r w:rsidRPr="00C41B2F">
        <w:rPr>
          <w:rFonts w:hint="eastAsia"/>
          <w:sz w:val="24"/>
          <w:szCs w:val="24"/>
        </w:rPr>
        <w:t>有发生，特别是困人故障反映较多，有的还造成较大社会影响。随着电梯数量激增、部件逐渐老化，以及我国电梯普遍存在的长时段、大客流、高负荷的使用情况，电梯的安全风险越来越大，安全形势依然严峻。总局对电梯安全工作高度重视，召开局长办公会专题研究加强和改进电梯安全工作的措施。为贯彻总局局长</w:t>
      </w:r>
      <w:r w:rsidRPr="00C41B2F">
        <w:rPr>
          <w:rFonts w:hint="eastAsia"/>
          <w:sz w:val="24"/>
          <w:szCs w:val="24"/>
        </w:rPr>
        <w:lastRenderedPageBreak/>
        <w:t>办公会精神，在继续落实总局《关于电梯安全监察工作若干问题的指导意见》（国质检特函〔</w:t>
      </w:r>
      <w:r w:rsidRPr="00C41B2F">
        <w:rPr>
          <w:sz w:val="24"/>
          <w:szCs w:val="24"/>
        </w:rPr>
        <w:t>2011</w:t>
      </w:r>
      <w:r w:rsidRPr="00C41B2F">
        <w:rPr>
          <w:rFonts w:hint="eastAsia"/>
          <w:sz w:val="24"/>
          <w:szCs w:val="24"/>
        </w:rPr>
        <w:t>〕</w:t>
      </w:r>
      <w:r w:rsidRPr="00C41B2F">
        <w:rPr>
          <w:sz w:val="24"/>
          <w:szCs w:val="24"/>
        </w:rPr>
        <w:t>370</w:t>
      </w:r>
      <w:r w:rsidRPr="00C41B2F">
        <w:rPr>
          <w:rFonts w:hint="eastAsia"/>
          <w:sz w:val="24"/>
          <w:szCs w:val="24"/>
        </w:rPr>
        <w:t>号）的基础上，总局就进一步加强电梯安全工作提出以下意见：</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一、工作目标</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力争通过</w:t>
      </w:r>
      <w:r w:rsidRPr="00C41B2F">
        <w:rPr>
          <w:sz w:val="24"/>
          <w:szCs w:val="24"/>
        </w:rPr>
        <w:t>3</w:t>
      </w:r>
      <w:r w:rsidRPr="00C41B2F">
        <w:rPr>
          <w:rFonts w:hint="eastAsia"/>
          <w:sz w:val="24"/>
          <w:szCs w:val="24"/>
        </w:rPr>
        <w:t>年的努力，电梯万台事故起数和万台事故死亡人数持续下降；在有条件的地区探索建立电梯故障率评价方法，努力减少电梯故障的发生；提升电梯应急救援能力，保障人民群众安全、舒适、便捷地使用电梯。</w:t>
      </w:r>
    </w:p>
    <w:p w:rsidR="00C41B2F" w:rsidRPr="00C41B2F" w:rsidRDefault="00C41B2F" w:rsidP="004E276A">
      <w:pPr>
        <w:pStyle w:val="a3"/>
        <w:spacing w:line="440" w:lineRule="exact"/>
        <w:rPr>
          <w:sz w:val="24"/>
          <w:szCs w:val="24"/>
        </w:rPr>
      </w:pPr>
      <w:r w:rsidRPr="00C41B2F">
        <w:rPr>
          <w:rFonts w:hint="eastAsia"/>
          <w:sz w:val="24"/>
          <w:szCs w:val="24"/>
        </w:rPr>
        <w:t>做好电梯安全工作，要创新监管方式，积极引入社会监督因素，发挥社会力量的作用，提高监管的科学性和有效性。进一步理清电梯从设计制造到使用管理各环节权责关系，突出企业安全主体责任的落实，建立责任保险、维修基金等社会救助体系，形成以落实企业主体责任为核心，增强作业人员和公众安全意识为基础，实现社会救助及时有效为辅助，各方监督有力为保障的社会多元共治的安全工作新机制。</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二、工作措施</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一）明确电梯使用管理的责任主体。住宅电梯是“多业主共有财产”，所有权涉及众多住宅业主，使用管理也涉及业主、物业公司、维保单位等多个主体，需要明确电梯使用管理的责任主体。各地要在使用登记、监督检查和检验检测等工作中，要求电梯产权所有者确定每台电梯的使用管理责任单位，并由其承担电梯使用管理的首负责任。</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二）建立以制造企业为主体的电梯维保体系。积极推动由电梯制造企业或其授权的单位进行电梯维保，电梯制造企业要为其授权的维保单位承担责任并对维保人员进行专业培训。逐步建立由电梯制造企业对电梯的设计制造、安装调试、维护保养等承担主体责任，并对电梯的质量安全终生负责的新机制。同时，提高电梯维保单位的许可准入门槛，建立维保退出机制，推进专业维保单位规模化和规范化发展。</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三）积极发挥社会检验力量的作用。试点并推行质监部门检验机构为主体、社会检验机构为补充的电梯检验格局，逐步提高电梯检验社会化水平。积极探索将目前电梯定期检验定性为社会性的技术服务，协调有关部门将电梯检验收费纳入经营服务性收费，不再列入行政事业收费。同时，要加强监督抽查，确保检验质量。</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（四）提高电梯技术保障能力和手段。申请财政设立经费科目，加强电梯监</w:t>
      </w:r>
      <w:r w:rsidRPr="00C41B2F">
        <w:rPr>
          <w:rFonts w:hint="eastAsia"/>
          <w:sz w:val="24"/>
          <w:szCs w:val="24"/>
        </w:rPr>
        <w:lastRenderedPageBreak/>
        <w:t>督抽查、风险监测和预警等，支持电梯物联网技术的研发和应用等。统筹科技和项目经费，开展电梯重要零部件及安全保护装置可靠性研究、老旧电梯风险评估技术方法的研究和试点等，提高电梯安全技术保障能力。加强电梯标准化工作，组织制定统一的电梯物联网技术标准，研究制订电梯零部件更换报废标准等。</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五）推动建立多元共治的电梯安全工作机制。电梯安全工作涉及多个环节、多个部门，质监部门在依法履职的同时，要积极配合住房和城乡建设、财政等部门提高楼宇电梯配置标准，促进老旧电梯维修、更新改造资金的有效落实，配合保监会推进电梯质量安全责任保险工作。积极推动立法，争取当地党委、政府支持，推动建立政府领导，住房和城乡建设、财政、安监、质检、保监等相关部门分工协作、多元共治的电梯安全工作新机制。积极争取当地政府支持建立专门的电梯应急指挥平台，建立</w:t>
      </w:r>
      <w:r w:rsidRPr="00C41B2F">
        <w:rPr>
          <w:sz w:val="24"/>
          <w:szCs w:val="24"/>
        </w:rPr>
        <w:t>12365</w:t>
      </w:r>
      <w:r w:rsidRPr="00C41B2F">
        <w:rPr>
          <w:rFonts w:hint="eastAsia"/>
          <w:sz w:val="24"/>
          <w:szCs w:val="24"/>
        </w:rPr>
        <w:t>和</w:t>
      </w:r>
      <w:r w:rsidRPr="00C41B2F">
        <w:rPr>
          <w:sz w:val="24"/>
          <w:szCs w:val="24"/>
        </w:rPr>
        <w:t>110</w:t>
      </w:r>
      <w:r w:rsidRPr="00C41B2F">
        <w:rPr>
          <w:rFonts w:hint="eastAsia"/>
          <w:sz w:val="24"/>
          <w:szCs w:val="24"/>
        </w:rPr>
        <w:t>、</w:t>
      </w:r>
      <w:r w:rsidRPr="00C41B2F">
        <w:rPr>
          <w:sz w:val="24"/>
          <w:szCs w:val="24"/>
        </w:rPr>
        <w:t>119</w:t>
      </w:r>
      <w:r w:rsidRPr="00C41B2F">
        <w:rPr>
          <w:rFonts w:hint="eastAsia"/>
          <w:sz w:val="24"/>
          <w:szCs w:val="24"/>
        </w:rPr>
        <w:t>的联动机制，修改电梯使用标识（式样见附件），明示使用管理的责任单位和应急救援电话，增强电梯应急处置能力，及时有效应对突发事件。</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三、工作要求</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一）提高认识，高度重视。电梯安全工作事关人民群众的根本利益，也是重要的民生工程。各级质监部门要充分认识做好电梯安全工作的重要性，进一步增强使命感和紧迫感，作为当前一项迫切而重要的任务，把电梯安全监察工作作为重中之重，突出抓好、抓实、抓到位。</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二）增加经费投入，加大科技支撑。目前各地对电梯安全的投入远远不能满足电梯发展的需要，要加大对特种设备、特别是电梯安全的投入，支持安全课题研究和电梯物联网技术的研发和应用等，强化安全科技的支撑。</w:t>
      </w:r>
    </w:p>
    <w:p w:rsidR="00C41B2F" w:rsidRPr="00C41B2F" w:rsidRDefault="00C41B2F" w:rsidP="004E276A">
      <w:pPr>
        <w:pStyle w:val="a3"/>
        <w:spacing w:line="440" w:lineRule="exact"/>
        <w:ind w:firstLineChars="200" w:firstLine="480"/>
        <w:rPr>
          <w:sz w:val="24"/>
          <w:szCs w:val="24"/>
        </w:rPr>
      </w:pPr>
      <w:r w:rsidRPr="00C41B2F">
        <w:rPr>
          <w:rFonts w:hint="eastAsia"/>
          <w:sz w:val="24"/>
          <w:szCs w:val="24"/>
        </w:rPr>
        <w:t>（三）加强队伍建设，满足增长需求。各地要根据电梯快速增长的情况，认真研究人员力量不足问题。质监部门要提出方案，争取当地政府支持。要加强安全监察和检验检测人员培训，不断提高管理能力和技术水平。</w:t>
      </w:r>
    </w:p>
    <w:p w:rsidR="00C41B2F" w:rsidRPr="00C41B2F" w:rsidRDefault="00C41B2F" w:rsidP="004E276A">
      <w:pPr>
        <w:pStyle w:val="a3"/>
        <w:spacing w:line="440" w:lineRule="exact"/>
        <w:rPr>
          <w:sz w:val="24"/>
          <w:szCs w:val="24"/>
        </w:rPr>
      </w:pPr>
      <w:r w:rsidRPr="00C41B2F">
        <w:rPr>
          <w:rFonts w:hint="eastAsia"/>
          <w:sz w:val="24"/>
          <w:szCs w:val="24"/>
        </w:rPr>
        <w:t>各地在工作过程中遇到的问题和建议，请及时报告总局特种设备局。</w:t>
      </w:r>
    </w:p>
    <w:p w:rsidR="00C41B2F" w:rsidRPr="00C41B2F" w:rsidRDefault="00C41B2F" w:rsidP="004E276A">
      <w:pPr>
        <w:pStyle w:val="a3"/>
        <w:spacing w:line="440" w:lineRule="exact"/>
        <w:rPr>
          <w:sz w:val="24"/>
          <w:szCs w:val="24"/>
        </w:rPr>
      </w:pPr>
      <w:r w:rsidRPr="00C41B2F">
        <w:rPr>
          <w:rFonts w:hint="eastAsia"/>
          <w:sz w:val="24"/>
          <w:szCs w:val="24"/>
        </w:rPr>
        <w:t> </w:t>
      </w:r>
    </w:p>
    <w:p w:rsidR="00C41B2F" w:rsidRDefault="00C41B2F" w:rsidP="004E276A">
      <w:pPr>
        <w:pStyle w:val="a3"/>
        <w:spacing w:line="440" w:lineRule="exact"/>
        <w:ind w:firstLineChars="200" w:firstLine="480"/>
        <w:rPr>
          <w:sz w:val="24"/>
          <w:szCs w:val="24"/>
        </w:rPr>
      </w:pPr>
      <w:r w:rsidRPr="00C41B2F">
        <w:rPr>
          <w:rFonts w:hint="eastAsia"/>
          <w:sz w:val="24"/>
          <w:szCs w:val="24"/>
        </w:rPr>
        <w:t>附件：修改的《电梯使用标志》式样及说明</w:t>
      </w:r>
    </w:p>
    <w:p w:rsidR="004E276A" w:rsidRDefault="004E276A" w:rsidP="004E276A">
      <w:pPr>
        <w:pStyle w:val="a3"/>
        <w:spacing w:line="440" w:lineRule="exact"/>
        <w:ind w:firstLineChars="200" w:firstLine="480"/>
        <w:rPr>
          <w:sz w:val="24"/>
          <w:szCs w:val="24"/>
        </w:rPr>
      </w:pPr>
    </w:p>
    <w:p w:rsidR="004E276A" w:rsidRPr="00C41B2F" w:rsidRDefault="004E276A" w:rsidP="004E276A">
      <w:pPr>
        <w:pStyle w:val="a3"/>
        <w:spacing w:line="440" w:lineRule="exact"/>
        <w:ind w:firstLineChars="200" w:firstLine="480"/>
        <w:rPr>
          <w:sz w:val="24"/>
          <w:szCs w:val="24"/>
        </w:rPr>
      </w:pPr>
    </w:p>
    <w:p w:rsidR="00C41B2F" w:rsidRPr="00C41B2F" w:rsidRDefault="00C41B2F" w:rsidP="004E276A">
      <w:pPr>
        <w:pStyle w:val="a3"/>
        <w:spacing w:line="440" w:lineRule="exact"/>
        <w:ind w:firstLineChars="2250" w:firstLine="5400"/>
        <w:rPr>
          <w:sz w:val="24"/>
          <w:szCs w:val="24"/>
        </w:rPr>
      </w:pPr>
      <w:r w:rsidRPr="00C41B2F">
        <w:rPr>
          <w:rFonts w:hint="eastAsia"/>
          <w:sz w:val="24"/>
          <w:szCs w:val="24"/>
        </w:rPr>
        <w:t>质检总局</w:t>
      </w:r>
    </w:p>
    <w:p w:rsidR="00C41B2F" w:rsidRPr="00C41B2F" w:rsidRDefault="00C41B2F" w:rsidP="004E276A">
      <w:pPr>
        <w:pStyle w:val="a3"/>
        <w:spacing w:line="440" w:lineRule="exact"/>
        <w:ind w:firstLineChars="2100" w:firstLine="5040"/>
        <w:rPr>
          <w:sz w:val="24"/>
          <w:szCs w:val="24"/>
        </w:rPr>
      </w:pPr>
      <w:r w:rsidRPr="00C41B2F">
        <w:rPr>
          <w:rFonts w:hint="eastAsia"/>
          <w:sz w:val="24"/>
          <w:szCs w:val="24"/>
        </w:rPr>
        <w:t>2013</w:t>
      </w:r>
      <w:r w:rsidRPr="00C41B2F">
        <w:rPr>
          <w:rFonts w:hint="eastAsia"/>
          <w:sz w:val="24"/>
          <w:szCs w:val="24"/>
        </w:rPr>
        <w:t>年</w:t>
      </w:r>
      <w:r w:rsidRPr="00C41B2F">
        <w:rPr>
          <w:sz w:val="24"/>
          <w:szCs w:val="24"/>
        </w:rPr>
        <w:t>1</w:t>
      </w:r>
      <w:r w:rsidRPr="00C41B2F">
        <w:rPr>
          <w:rFonts w:hint="eastAsia"/>
          <w:sz w:val="24"/>
          <w:szCs w:val="24"/>
        </w:rPr>
        <w:t>月</w:t>
      </w:r>
      <w:r w:rsidRPr="00C41B2F">
        <w:rPr>
          <w:sz w:val="24"/>
          <w:szCs w:val="24"/>
        </w:rPr>
        <w:t>7</w:t>
      </w:r>
      <w:r w:rsidRPr="00C41B2F">
        <w:rPr>
          <w:rFonts w:hint="eastAsia"/>
          <w:sz w:val="24"/>
          <w:szCs w:val="24"/>
        </w:rPr>
        <w:t>日</w:t>
      </w:r>
    </w:p>
    <w:p w:rsidR="00C41B2F" w:rsidRDefault="00C41B2F" w:rsidP="00C41B2F">
      <w:pPr>
        <w:pStyle w:val="a3"/>
      </w:pPr>
    </w:p>
    <w:p w:rsidR="00C41B2F" w:rsidRDefault="00C41B2F" w:rsidP="00C41B2F">
      <w:pPr>
        <w:pStyle w:val="a3"/>
        <w:rPr>
          <w:sz w:val="24"/>
          <w:szCs w:val="24"/>
        </w:rPr>
      </w:pPr>
      <w:r w:rsidRPr="00C41B2F">
        <w:rPr>
          <w:rFonts w:hint="eastAsia"/>
          <w:sz w:val="24"/>
          <w:szCs w:val="24"/>
        </w:rPr>
        <w:lastRenderedPageBreak/>
        <w:t>附件</w:t>
      </w:r>
    </w:p>
    <w:p w:rsidR="004E276A" w:rsidRDefault="004E276A" w:rsidP="00C41B2F">
      <w:pPr>
        <w:pStyle w:val="a3"/>
        <w:rPr>
          <w:sz w:val="24"/>
          <w:szCs w:val="24"/>
        </w:rPr>
      </w:pPr>
    </w:p>
    <w:p w:rsidR="00C41B2F" w:rsidRPr="004E276A" w:rsidRDefault="00C41B2F" w:rsidP="00C41B2F">
      <w:pPr>
        <w:pStyle w:val="a3"/>
        <w:jc w:val="center"/>
        <w:rPr>
          <w:rFonts w:ascii="方正小标宋简体" w:eastAsia="方正小标宋简体"/>
          <w:sz w:val="36"/>
          <w:szCs w:val="36"/>
        </w:rPr>
      </w:pPr>
      <w:r w:rsidRPr="004E276A">
        <w:rPr>
          <w:rFonts w:ascii="方正小标宋简体" w:eastAsia="方正小标宋简体" w:hint="eastAsia"/>
          <w:sz w:val="36"/>
          <w:szCs w:val="36"/>
        </w:rPr>
        <w:t>修改的《电梯使用标志》式样及说明</w:t>
      </w:r>
    </w:p>
    <w:p w:rsidR="00C41B2F" w:rsidRDefault="00C41B2F" w:rsidP="00C41B2F">
      <w:pPr>
        <w:pStyle w:val="a3"/>
        <w:jc w:val="center"/>
      </w:pPr>
      <w:r w:rsidRPr="00C41B2F">
        <w:rPr>
          <w:noProof/>
        </w:rPr>
        <w:drawing>
          <wp:inline distT="0" distB="0" distL="0" distR="0">
            <wp:extent cx="4982531" cy="3133725"/>
            <wp:effectExtent l="0" t="0" r="8890" b="0"/>
            <wp:docPr id="1" name="图片 1" descr="E:\协会\电梯使用标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协会\电梯使用标志.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8985" cy="3150363"/>
                    </a:xfrm>
                    <a:prstGeom prst="rect">
                      <a:avLst/>
                    </a:prstGeom>
                    <a:noFill/>
                    <a:ln>
                      <a:noFill/>
                    </a:ln>
                  </pic:spPr>
                </pic:pic>
              </a:graphicData>
            </a:graphic>
          </wp:inline>
        </w:drawing>
      </w:r>
    </w:p>
    <w:p w:rsidR="004E276A" w:rsidRDefault="004E276A" w:rsidP="00C41B2F">
      <w:pPr>
        <w:pStyle w:val="a3"/>
        <w:jc w:val="center"/>
      </w:pPr>
    </w:p>
    <w:p w:rsidR="00C41B2F" w:rsidRDefault="00C41B2F" w:rsidP="00C41B2F">
      <w:pPr>
        <w:jc w:val="center"/>
        <w:rPr>
          <w:rFonts w:ascii="方正小标宋简体" w:eastAsia="方正小标宋简体" w:hAnsiTheme="minorEastAsia"/>
          <w:sz w:val="36"/>
          <w:szCs w:val="36"/>
        </w:rPr>
      </w:pPr>
      <w:r w:rsidRPr="004E276A">
        <w:rPr>
          <w:rFonts w:ascii="方正小标宋简体" w:eastAsia="方正小标宋简体" w:hAnsiTheme="minorEastAsia" w:hint="eastAsia"/>
          <w:sz w:val="36"/>
          <w:szCs w:val="36"/>
        </w:rPr>
        <w:t>《电梯使用标志》说明</w:t>
      </w:r>
    </w:p>
    <w:p w:rsidR="006B1268" w:rsidRDefault="006B1268" w:rsidP="00C41B2F">
      <w:pPr>
        <w:jc w:val="center"/>
        <w:rPr>
          <w:rFonts w:asciiTheme="minorEastAsia" w:hAnsiTheme="minorEastAsia"/>
          <w:szCs w:val="21"/>
        </w:rPr>
        <w:sectPr w:rsidR="006B1268">
          <w:footerReference w:type="default" r:id="rId9"/>
          <w:pgSz w:w="11906" w:h="16838"/>
          <w:pgMar w:top="1440" w:right="1800" w:bottom="1440" w:left="1800" w:header="851" w:footer="992" w:gutter="0"/>
          <w:cols w:space="425"/>
          <w:docGrid w:type="lines" w:linePitch="312"/>
        </w:sectPr>
      </w:pPr>
    </w:p>
    <w:p w:rsidR="004E276A" w:rsidRPr="004E276A" w:rsidRDefault="004E276A" w:rsidP="00C41B2F">
      <w:pPr>
        <w:jc w:val="center"/>
        <w:rPr>
          <w:rFonts w:asciiTheme="minorEastAsia" w:hAnsiTheme="minorEastAsia"/>
          <w:szCs w:val="21"/>
        </w:rPr>
      </w:pPr>
    </w:p>
    <w:p w:rsidR="00C41B2F" w:rsidRPr="004E276A" w:rsidRDefault="00C41B2F" w:rsidP="00C41B2F">
      <w:pPr>
        <w:tabs>
          <w:tab w:val="left" w:pos="360"/>
        </w:tabs>
        <w:ind w:firstLineChars="225" w:firstLine="473"/>
        <w:rPr>
          <w:rFonts w:asciiTheme="minorEastAsia" w:hAnsiTheme="minorEastAsia"/>
          <w:szCs w:val="21"/>
        </w:rPr>
        <w:sectPr w:rsidR="00C41B2F" w:rsidRPr="004E276A" w:rsidSect="006B1268">
          <w:type w:val="continuous"/>
          <w:pgSz w:w="11906" w:h="16838"/>
          <w:pgMar w:top="1440" w:right="1800" w:bottom="1440" w:left="1800" w:header="851" w:footer="992" w:gutter="0"/>
          <w:cols w:num="2" w:space="425"/>
          <w:docGrid w:type="lines" w:linePitch="312"/>
        </w:sectPr>
      </w:pPr>
    </w:p>
    <w:p w:rsidR="00C41B2F" w:rsidRPr="004E276A" w:rsidRDefault="00C41B2F" w:rsidP="00C41B2F">
      <w:pPr>
        <w:tabs>
          <w:tab w:val="left" w:pos="360"/>
        </w:tabs>
        <w:ind w:firstLineChars="225" w:firstLine="473"/>
        <w:rPr>
          <w:rFonts w:asciiTheme="minorEastAsia" w:hAnsiTheme="minorEastAsia"/>
          <w:szCs w:val="21"/>
        </w:rPr>
      </w:pPr>
      <w:r w:rsidRPr="004E276A">
        <w:rPr>
          <w:rFonts w:asciiTheme="minorEastAsia" w:hAnsiTheme="minorEastAsia" w:hint="eastAsia"/>
          <w:szCs w:val="21"/>
        </w:rPr>
        <w:lastRenderedPageBreak/>
        <w:t>修改后的电梯标志名称为“电梯使用标志”，替代原《安全检验合格》标志，标明电梯使用管理、制造、维保等相关责任方以及电梯检验合格的相关信息，仍由检验检测机构在电梯监督检验或定期检验合格后印发给使用管理责任单位，在电梯轿厢明显位置悬挂。有关内容的含义如下：</w:t>
      </w:r>
    </w:p>
    <w:p w:rsidR="00C41B2F" w:rsidRPr="004E276A" w:rsidRDefault="00C41B2F" w:rsidP="00C41B2F">
      <w:pPr>
        <w:tabs>
          <w:tab w:val="left" w:pos="360"/>
        </w:tabs>
        <w:ind w:firstLineChars="225" w:firstLine="473"/>
        <w:rPr>
          <w:rFonts w:asciiTheme="minorEastAsia" w:hAnsiTheme="minorEastAsia"/>
          <w:szCs w:val="21"/>
        </w:rPr>
      </w:pPr>
      <w:r w:rsidRPr="004E276A">
        <w:rPr>
          <w:rFonts w:asciiTheme="minorEastAsia" w:hAnsiTheme="minorEastAsia" w:hint="eastAsia"/>
          <w:szCs w:val="21"/>
        </w:rPr>
        <w:t>1.注册代码：设备注册登记的编号代码。</w:t>
      </w:r>
    </w:p>
    <w:p w:rsidR="00C41B2F" w:rsidRPr="004E276A" w:rsidRDefault="00C41B2F" w:rsidP="00C41B2F">
      <w:pPr>
        <w:tabs>
          <w:tab w:val="left" w:pos="360"/>
        </w:tabs>
        <w:ind w:firstLineChars="225" w:firstLine="473"/>
        <w:rPr>
          <w:rFonts w:asciiTheme="minorEastAsia" w:hAnsiTheme="minorEastAsia"/>
          <w:szCs w:val="21"/>
        </w:rPr>
      </w:pPr>
      <w:r w:rsidRPr="004E276A">
        <w:rPr>
          <w:rFonts w:asciiTheme="minorEastAsia" w:hAnsiTheme="minorEastAsia" w:hint="eastAsia"/>
          <w:szCs w:val="21"/>
        </w:rPr>
        <w:t>2.登记机关：对电梯使用登记的质量技术监督部门。</w:t>
      </w:r>
    </w:p>
    <w:p w:rsidR="00C41B2F" w:rsidRPr="004E276A" w:rsidRDefault="00C41B2F" w:rsidP="00C41B2F">
      <w:pPr>
        <w:tabs>
          <w:tab w:val="left" w:pos="360"/>
        </w:tabs>
        <w:ind w:firstLineChars="225" w:firstLine="473"/>
        <w:rPr>
          <w:rFonts w:asciiTheme="minorEastAsia" w:hAnsiTheme="minorEastAsia"/>
          <w:szCs w:val="21"/>
        </w:rPr>
      </w:pPr>
      <w:r w:rsidRPr="004E276A">
        <w:rPr>
          <w:rFonts w:asciiTheme="minorEastAsia" w:hAnsiTheme="minorEastAsia" w:hint="eastAsia"/>
          <w:szCs w:val="21"/>
        </w:rPr>
        <w:t>3.使用管理责任单位：对电梯进行管理并对电梯使用安全承担首负责任的单位。如果电梯“所有权者”（业主单位等）自行管理电梯，其即为使用管理责任单位；如果电梯“所有权者”通过授权或委托物业公司或其他单位管理电梯，则被授权或委托的单位即为使用管理责任单位；对产权关系不清无法确定承担首负责任单位的，由当地基层政府明确电梯使用管理的责任单位。</w:t>
      </w:r>
    </w:p>
    <w:p w:rsidR="00C41B2F" w:rsidRPr="004E276A" w:rsidRDefault="00C41B2F" w:rsidP="00C41B2F">
      <w:pPr>
        <w:ind w:firstLineChars="225" w:firstLine="473"/>
        <w:rPr>
          <w:rFonts w:asciiTheme="minorEastAsia" w:hAnsiTheme="minorEastAsia"/>
          <w:szCs w:val="21"/>
        </w:rPr>
      </w:pPr>
      <w:r w:rsidRPr="004E276A">
        <w:rPr>
          <w:rFonts w:asciiTheme="minorEastAsia" w:hAnsiTheme="minorEastAsia" w:hint="eastAsia"/>
          <w:szCs w:val="21"/>
        </w:rPr>
        <w:t>4.使用单位设备编号：使用管理单位自</w:t>
      </w:r>
      <w:r w:rsidRPr="004E276A">
        <w:rPr>
          <w:rFonts w:asciiTheme="minorEastAsia" w:hAnsiTheme="minorEastAsia" w:hint="eastAsia"/>
          <w:szCs w:val="21"/>
        </w:rPr>
        <w:lastRenderedPageBreak/>
        <w:t>行对电梯进行的编号，用以区别本单位使用的多台电梯。</w:t>
      </w:r>
    </w:p>
    <w:p w:rsidR="00C41B2F" w:rsidRPr="004E276A" w:rsidRDefault="00C41B2F" w:rsidP="00C41B2F">
      <w:pPr>
        <w:tabs>
          <w:tab w:val="left" w:pos="360"/>
        </w:tabs>
        <w:ind w:firstLineChars="225" w:firstLine="473"/>
        <w:rPr>
          <w:rFonts w:asciiTheme="minorEastAsia" w:hAnsiTheme="minorEastAsia"/>
          <w:szCs w:val="21"/>
        </w:rPr>
      </w:pPr>
      <w:r w:rsidRPr="004E276A">
        <w:rPr>
          <w:rFonts w:asciiTheme="minorEastAsia" w:hAnsiTheme="minorEastAsia" w:hint="eastAsia"/>
          <w:szCs w:val="21"/>
        </w:rPr>
        <w:t>5.制造单位：电梯整机制造或改造单位，对电梯设备的质量和安全性能承担责任。</w:t>
      </w:r>
    </w:p>
    <w:p w:rsidR="00C41B2F" w:rsidRPr="004E276A" w:rsidRDefault="00C41B2F" w:rsidP="00C41B2F">
      <w:pPr>
        <w:tabs>
          <w:tab w:val="left" w:pos="360"/>
        </w:tabs>
        <w:ind w:firstLineChars="225" w:firstLine="473"/>
        <w:rPr>
          <w:rFonts w:asciiTheme="minorEastAsia" w:hAnsiTheme="minorEastAsia"/>
          <w:szCs w:val="21"/>
        </w:rPr>
      </w:pPr>
      <w:r w:rsidRPr="004E276A">
        <w:rPr>
          <w:rFonts w:asciiTheme="minorEastAsia" w:hAnsiTheme="minorEastAsia" w:hint="eastAsia"/>
          <w:szCs w:val="21"/>
        </w:rPr>
        <w:t>6. 维保单位：受使用管理责任单位委托，承担电梯日常维护保养的单位。</w:t>
      </w:r>
    </w:p>
    <w:p w:rsidR="00C41B2F" w:rsidRPr="004E276A" w:rsidRDefault="00C41B2F" w:rsidP="00C41B2F">
      <w:pPr>
        <w:ind w:firstLineChars="225" w:firstLine="473"/>
        <w:rPr>
          <w:rFonts w:asciiTheme="minorEastAsia" w:hAnsiTheme="minorEastAsia"/>
          <w:szCs w:val="21"/>
        </w:rPr>
      </w:pPr>
      <w:r w:rsidRPr="004E276A">
        <w:rPr>
          <w:rFonts w:asciiTheme="minorEastAsia" w:hAnsiTheme="minorEastAsia" w:hint="eastAsia"/>
          <w:szCs w:val="21"/>
        </w:rPr>
        <w:t>7.检验单位：实施电梯监督检验或定期检验的检验检测机构。</w:t>
      </w:r>
    </w:p>
    <w:p w:rsidR="00C41B2F" w:rsidRPr="004E276A" w:rsidRDefault="00C41B2F" w:rsidP="00C41B2F">
      <w:pPr>
        <w:ind w:firstLineChars="225" w:firstLine="473"/>
        <w:rPr>
          <w:rFonts w:asciiTheme="minorEastAsia" w:hAnsiTheme="minorEastAsia"/>
          <w:szCs w:val="21"/>
        </w:rPr>
      </w:pPr>
      <w:r w:rsidRPr="004E276A">
        <w:rPr>
          <w:rFonts w:asciiTheme="minorEastAsia" w:hAnsiTheme="minorEastAsia" w:hint="eastAsia"/>
          <w:szCs w:val="21"/>
        </w:rPr>
        <w:t>8.下次检验日期：在此日期之前应当约请检验检测机构进行定期检验，时间精确到月，即在月底之前应当进行定期检验。</w:t>
      </w:r>
    </w:p>
    <w:p w:rsidR="00C41B2F" w:rsidRPr="004E276A" w:rsidRDefault="00C41B2F" w:rsidP="00C41B2F">
      <w:pPr>
        <w:ind w:firstLineChars="225" w:firstLine="473"/>
        <w:rPr>
          <w:rFonts w:asciiTheme="minorEastAsia" w:hAnsiTheme="minorEastAsia"/>
          <w:szCs w:val="21"/>
        </w:rPr>
      </w:pPr>
      <w:r w:rsidRPr="004E276A">
        <w:rPr>
          <w:rFonts w:asciiTheme="minorEastAsia" w:hAnsiTheme="minorEastAsia" w:hint="eastAsia"/>
          <w:szCs w:val="21"/>
        </w:rPr>
        <w:t>9.应急救援电话：使用管理责任单位或维保单位值班电话，能够在电梯运行的所有时间保持通话畅通，接话后可以立即组织应急救援。</w:t>
      </w:r>
    </w:p>
    <w:p w:rsidR="00C41B2F" w:rsidRDefault="00A22C21" w:rsidP="00C41B2F">
      <w:pPr>
        <w:pStyle w:val="a3"/>
        <w:rPr>
          <w:rFonts w:asciiTheme="minorEastAsia" w:hAnsiTheme="minorEastAsia"/>
          <w:szCs w:val="21"/>
        </w:rPr>
      </w:pPr>
      <w:r>
        <w:rPr>
          <w:rFonts w:asciiTheme="minorEastAsia" w:hAnsiTheme="minorEastAsia" w:hint="eastAsia"/>
          <w:szCs w:val="21"/>
        </w:rPr>
        <w:t xml:space="preserve">    </w:t>
      </w:r>
      <w:r w:rsidR="00C41B2F" w:rsidRPr="004E276A">
        <w:rPr>
          <w:rFonts w:asciiTheme="minorEastAsia" w:hAnsiTheme="minorEastAsia" w:hint="eastAsia"/>
          <w:szCs w:val="21"/>
        </w:rPr>
        <w:t>10.二维识别码：有条件的检验机构可以通过打印二维识别码，使电梯标志具备防伪功能，也便于读出该电梯的相关信息，实现信息化管理。</w:t>
      </w:r>
    </w:p>
    <w:p w:rsidR="006B1268" w:rsidRDefault="006B1268" w:rsidP="00C41B2F">
      <w:pPr>
        <w:pStyle w:val="a3"/>
        <w:rPr>
          <w:rFonts w:asciiTheme="minorEastAsia" w:hAnsiTheme="minorEastAsia"/>
          <w:szCs w:val="21"/>
        </w:rPr>
        <w:sectPr w:rsidR="006B1268" w:rsidSect="006B1268">
          <w:type w:val="continuous"/>
          <w:pgSz w:w="11906" w:h="16838"/>
          <w:pgMar w:top="1440" w:right="1800" w:bottom="1440" w:left="1800" w:header="851" w:footer="992" w:gutter="0"/>
          <w:cols w:num="2" w:space="425"/>
          <w:docGrid w:type="lines" w:linePitch="312"/>
        </w:sectPr>
      </w:pPr>
    </w:p>
    <w:p w:rsidR="008D2117" w:rsidRDefault="00323E3B" w:rsidP="008D2117">
      <w:pPr>
        <w:spacing w:line="600" w:lineRule="exact"/>
        <w:jc w:val="left"/>
        <w:rPr>
          <w:rFonts w:ascii="方正小标宋简体" w:eastAsia="方正小标宋简体" w:hAnsi="宋体"/>
          <w:sz w:val="36"/>
          <w:szCs w:val="36"/>
        </w:rPr>
      </w:pPr>
      <w:r>
        <w:rPr>
          <w:rFonts w:ascii="黑体" w:eastAsia="黑体" w:hAnsi="黑体" w:hint="eastAsia"/>
          <w:sz w:val="28"/>
          <w:szCs w:val="28"/>
          <w:shd w:val="pct15" w:color="auto" w:fill="FFFFFF"/>
        </w:rPr>
        <w:lastRenderedPageBreak/>
        <w:t>安全管理</w:t>
      </w:r>
    </w:p>
    <w:p w:rsidR="00CE1613" w:rsidRDefault="00CE1613" w:rsidP="00CE1613">
      <w:pPr>
        <w:jc w:val="center"/>
        <w:rPr>
          <w:rFonts w:ascii="方正小标宋简体" w:eastAsia="方正小标宋简体" w:hAnsi="宋体" w:cs="宋体"/>
          <w:sz w:val="36"/>
          <w:szCs w:val="36"/>
        </w:rPr>
      </w:pPr>
    </w:p>
    <w:p w:rsidR="00CE1613" w:rsidRPr="00CE1613" w:rsidRDefault="00CE1613" w:rsidP="00CE1613">
      <w:pPr>
        <w:jc w:val="center"/>
        <w:rPr>
          <w:rFonts w:ascii="方正小标宋简体" w:eastAsia="方正小标宋简体" w:hAnsi="宋体" w:cs="宋体"/>
          <w:sz w:val="36"/>
          <w:szCs w:val="36"/>
        </w:rPr>
      </w:pPr>
      <w:r w:rsidRPr="00CE1613">
        <w:rPr>
          <w:rFonts w:ascii="方正小标宋简体" w:eastAsia="方正小标宋简体" w:hAnsi="宋体" w:cs="宋体" w:hint="eastAsia"/>
          <w:sz w:val="36"/>
          <w:szCs w:val="36"/>
        </w:rPr>
        <w:t>二</w:t>
      </w:r>
      <w:r w:rsidRPr="00CE1613">
        <w:rPr>
          <w:rFonts w:ascii="宋体" w:eastAsia="宋体" w:hAnsi="宋体" w:cs="宋体" w:hint="eastAsia"/>
          <w:sz w:val="36"/>
          <w:szCs w:val="36"/>
        </w:rPr>
        <w:t>〇</w:t>
      </w:r>
      <w:r w:rsidRPr="00CE1613">
        <w:rPr>
          <w:rFonts w:ascii="方正小标宋简体" w:eastAsia="方正小标宋简体" w:hAnsi="方正小标宋简体" w:cs="方正小标宋简体" w:hint="eastAsia"/>
          <w:sz w:val="36"/>
          <w:szCs w:val="36"/>
        </w:rPr>
        <w:t>一三年</w:t>
      </w:r>
      <w:r w:rsidRPr="00CE1613">
        <w:rPr>
          <w:rFonts w:ascii="方正小标宋简体" w:eastAsia="方正小标宋简体" w:hAnsi="宋体" w:cs="宋体" w:hint="eastAsia"/>
          <w:sz w:val="36"/>
          <w:szCs w:val="36"/>
        </w:rPr>
        <w:t>青岛市特种设备安全状况</w:t>
      </w:r>
    </w:p>
    <w:p w:rsidR="00CE1613" w:rsidRDefault="00CE1613" w:rsidP="00CE1613">
      <w:pPr>
        <w:jc w:val="center"/>
        <w:rPr>
          <w:rFonts w:ascii="楷体" w:eastAsia="楷体" w:hAnsi="楷体" w:cs="宋体"/>
          <w:sz w:val="28"/>
          <w:szCs w:val="28"/>
        </w:rPr>
      </w:pPr>
      <w:r w:rsidRPr="00CE1613">
        <w:rPr>
          <w:rFonts w:ascii="楷体" w:eastAsia="楷体" w:hAnsi="楷体" w:cs="宋体" w:hint="eastAsia"/>
          <w:sz w:val="28"/>
          <w:szCs w:val="28"/>
        </w:rPr>
        <w:t>青岛市质量技术监督局</w:t>
      </w:r>
    </w:p>
    <w:p w:rsidR="00CE1613" w:rsidRPr="00CE1613" w:rsidRDefault="00CE1613" w:rsidP="00CE1613">
      <w:pPr>
        <w:spacing w:line="500" w:lineRule="exact"/>
        <w:jc w:val="center"/>
        <w:rPr>
          <w:rFonts w:ascii="楷体" w:eastAsia="楷体" w:hAnsi="楷体" w:cs="宋体"/>
          <w:sz w:val="28"/>
          <w:szCs w:val="28"/>
        </w:rPr>
      </w:pPr>
    </w:p>
    <w:p w:rsidR="00CE1613" w:rsidRPr="00CE1613" w:rsidRDefault="00CE1613" w:rsidP="00CE1613">
      <w:pPr>
        <w:pStyle w:val="a8"/>
        <w:spacing w:before="0" w:beforeAutospacing="0" w:after="0" w:afterAutospacing="0" w:line="500" w:lineRule="exact"/>
        <w:jc w:val="center"/>
        <w:rPr>
          <w:rFonts w:asciiTheme="minorEastAsia" w:eastAsiaTheme="minorEastAsia" w:hAnsiTheme="minorEastAsia" w:cs="仿宋_GB2312"/>
          <w:sz w:val="28"/>
          <w:szCs w:val="28"/>
        </w:rPr>
      </w:pPr>
      <w:r w:rsidRPr="00CE1613">
        <w:rPr>
          <w:rFonts w:asciiTheme="minorEastAsia" w:eastAsiaTheme="minorEastAsia" w:hAnsiTheme="minorEastAsia" w:cs="仿宋_GB2312" w:hint="eastAsia"/>
          <w:b/>
          <w:sz w:val="28"/>
          <w:szCs w:val="28"/>
        </w:rPr>
        <w:t>前    言</w:t>
      </w:r>
    </w:p>
    <w:p w:rsidR="00CE1613" w:rsidRPr="00CE1613" w:rsidRDefault="00CE1613" w:rsidP="00CE1613">
      <w:pPr>
        <w:spacing w:line="500" w:lineRule="exact"/>
        <w:ind w:firstLineChars="200" w:firstLine="532"/>
        <w:rPr>
          <w:rFonts w:asciiTheme="minorEastAsia" w:hAnsiTheme="minorEastAsia"/>
          <w:sz w:val="28"/>
          <w:szCs w:val="28"/>
        </w:rPr>
      </w:pPr>
      <w:r w:rsidRPr="00CE1613">
        <w:rPr>
          <w:rFonts w:asciiTheme="minorEastAsia" w:hAnsiTheme="minorEastAsia" w:hint="eastAsia"/>
          <w:sz w:val="28"/>
          <w:szCs w:val="28"/>
        </w:rPr>
        <w:t>特种设备是指对人身和财产安全有较大危险性的锅炉、压力容器（含气瓶）、压力管道、电梯、起重机械、客运索道、大型游乐设施、场（厂）内专用机动车辆，以及法律、行政法规规定适用于《特种设备安全法》的其他特种设备。我国与世界上许多国家一样，都把这类设备、设施纳入了政府安全监察范围。</w:t>
      </w:r>
    </w:p>
    <w:p w:rsidR="00CE1613" w:rsidRPr="00CE1613" w:rsidRDefault="00CE1613" w:rsidP="00CE1613">
      <w:pPr>
        <w:spacing w:line="500" w:lineRule="exact"/>
        <w:ind w:firstLineChars="200" w:firstLine="532"/>
        <w:rPr>
          <w:rFonts w:asciiTheme="minorEastAsia" w:hAnsiTheme="minorEastAsia"/>
          <w:sz w:val="28"/>
          <w:szCs w:val="28"/>
        </w:rPr>
      </w:pPr>
      <w:r w:rsidRPr="00CE1613">
        <w:rPr>
          <w:rFonts w:asciiTheme="minorEastAsia" w:hAnsiTheme="minorEastAsia" w:hint="eastAsia"/>
          <w:sz w:val="28"/>
          <w:szCs w:val="28"/>
        </w:rPr>
        <w:t>特种设备在国民经济和社会发展中起着举足轻重的作用。其中，每年消耗掉70％煤产量的锅炉，是工业生产的“心脏”；石化装置中，压力容器和压力管道的比重高达40％；气瓶作为常见压力容器早已进入千家万户；压力管道已成为国民经济的重要“血管”；电梯已成为现代化城市中必备的代步工具；起重机械、场（厂）内专用机动车辆作为现代生产物料的搬运设备，是支持工业、建筑业、物流业等主要产业的“骨干”；大型游乐设施、客运索道为人们带来了诸多生活乐趣。但是，特种设备在造福于人类的同时，如果管理不善，也会酿成群死群伤的重特大</w:t>
      </w:r>
      <w:hyperlink r:id="rId10" w:tgtFrame="_blank" w:history="1">
        <w:r w:rsidRPr="00CE1613">
          <w:rPr>
            <w:rFonts w:asciiTheme="minorEastAsia" w:hAnsiTheme="minorEastAsia" w:hint="eastAsia"/>
            <w:sz w:val="28"/>
            <w:szCs w:val="28"/>
          </w:rPr>
          <w:t>事故</w:t>
        </w:r>
      </w:hyperlink>
      <w:r w:rsidRPr="00CE1613">
        <w:rPr>
          <w:rFonts w:asciiTheme="minorEastAsia" w:hAnsiTheme="minorEastAsia" w:hint="eastAsia"/>
          <w:sz w:val="28"/>
          <w:szCs w:val="28"/>
        </w:rPr>
        <w:t>，给人民生命财产和社会经济发展带来重大损失，甚至影响社会稳定。</w:t>
      </w:r>
    </w:p>
    <w:p w:rsidR="00CE1613" w:rsidRPr="00CE1613" w:rsidRDefault="00CE1613" w:rsidP="00CE1613">
      <w:pPr>
        <w:spacing w:line="500" w:lineRule="exact"/>
        <w:ind w:firstLineChars="200" w:firstLine="532"/>
        <w:rPr>
          <w:rFonts w:asciiTheme="minorEastAsia" w:hAnsiTheme="minorEastAsia"/>
          <w:sz w:val="28"/>
          <w:szCs w:val="28"/>
        </w:rPr>
      </w:pPr>
      <w:r w:rsidRPr="00CE1613">
        <w:rPr>
          <w:rFonts w:asciiTheme="minorEastAsia" w:hAnsiTheme="minorEastAsia" w:hint="eastAsia"/>
          <w:sz w:val="28"/>
          <w:szCs w:val="28"/>
        </w:rPr>
        <w:t xml:space="preserve">我市是特种设备生产和使用大市，根据有关规定，我们对全市特种设备安全状况进行了认真分析，以便进一步增进全社会对我市特种设备安全状况的了解，增强有关人员的特种设备安全意识，并为今后特种设备安全工作提供有益的借鉴指导。 </w:t>
      </w:r>
    </w:p>
    <w:p w:rsidR="00CE1613" w:rsidRPr="00CE1613" w:rsidRDefault="00CE1613" w:rsidP="00CE1613">
      <w:pPr>
        <w:pStyle w:val="a8"/>
        <w:spacing w:before="0" w:beforeAutospacing="0" w:after="0" w:afterAutospacing="0" w:line="560" w:lineRule="exact"/>
        <w:jc w:val="center"/>
        <w:rPr>
          <w:rFonts w:asciiTheme="minorEastAsia" w:eastAsiaTheme="minorEastAsia" w:hAnsiTheme="minorEastAsia"/>
          <w:color w:val="000000"/>
          <w:sz w:val="28"/>
          <w:szCs w:val="28"/>
        </w:rPr>
        <w:sectPr w:rsidR="00CE1613" w:rsidRPr="00CE1613">
          <w:headerReference w:type="default" r:id="rId11"/>
          <w:footerReference w:type="even" r:id="rId12"/>
          <w:footerReference w:type="default" r:id="rId13"/>
          <w:pgSz w:w="11907" w:h="16840"/>
          <w:pgMar w:top="1975" w:right="1588" w:bottom="1725" w:left="1588" w:header="0" w:footer="1134" w:gutter="0"/>
          <w:pgNumType w:fmt="numberInDash"/>
          <w:cols w:space="720"/>
          <w:docGrid w:type="linesAndChars" w:linePitch="623" w:charSpace="-2835"/>
        </w:sectPr>
      </w:pPr>
    </w:p>
    <w:p w:rsidR="00CE1613" w:rsidRPr="00CE1613" w:rsidRDefault="00CE1613" w:rsidP="00CE1613">
      <w:pPr>
        <w:pStyle w:val="a8"/>
        <w:spacing w:before="0" w:beforeAutospacing="0" w:after="0" w:afterAutospacing="0" w:line="580" w:lineRule="exact"/>
        <w:jc w:val="center"/>
        <w:rPr>
          <w:rFonts w:ascii="方正小标宋简体" w:eastAsia="方正小标宋简体"/>
          <w:color w:val="000000"/>
          <w:sz w:val="36"/>
          <w:szCs w:val="36"/>
        </w:rPr>
      </w:pPr>
      <w:r w:rsidRPr="00CE1613">
        <w:rPr>
          <w:rFonts w:ascii="方正小标宋简体" w:eastAsia="方正小标宋简体" w:hint="eastAsia"/>
          <w:color w:val="000000"/>
          <w:sz w:val="36"/>
          <w:szCs w:val="36"/>
        </w:rPr>
        <w:lastRenderedPageBreak/>
        <w:t>2013年青岛市特种设备安全状况</w:t>
      </w:r>
    </w:p>
    <w:p w:rsidR="00CE1613" w:rsidRDefault="00CE1613" w:rsidP="00CE1613">
      <w:pPr>
        <w:pStyle w:val="a8"/>
        <w:spacing w:before="0" w:beforeAutospacing="0" w:after="0" w:afterAutospacing="0" w:line="580" w:lineRule="exact"/>
        <w:jc w:val="both"/>
        <w:rPr>
          <w:rFonts w:ascii="黑体" w:eastAsia="黑体"/>
          <w:color w:val="000000"/>
          <w:sz w:val="32"/>
          <w:szCs w:val="32"/>
        </w:rPr>
      </w:pPr>
    </w:p>
    <w:p w:rsidR="00CE1613" w:rsidRDefault="00CE1613" w:rsidP="00CE1613">
      <w:pPr>
        <w:pStyle w:val="a8"/>
        <w:spacing w:before="0" w:beforeAutospacing="0" w:after="0" w:afterAutospacing="0" w:line="580" w:lineRule="exact"/>
        <w:ind w:firstLine="640"/>
        <w:jc w:val="both"/>
        <w:rPr>
          <w:rFonts w:asciiTheme="minorEastAsia" w:eastAsiaTheme="minorEastAsia" w:hAnsiTheme="minorEastAsia"/>
          <w:color w:val="000000"/>
        </w:rPr>
        <w:sectPr w:rsidR="00CE1613" w:rsidSect="006B1268">
          <w:type w:val="continuous"/>
          <w:pgSz w:w="11906" w:h="16838"/>
          <w:pgMar w:top="1440" w:right="1800" w:bottom="1440" w:left="1800" w:header="851" w:footer="992" w:gutter="0"/>
          <w:cols w:space="425"/>
          <w:docGrid w:type="lines" w:linePitch="312"/>
        </w:sectPr>
      </w:pP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color w:val="000000"/>
        </w:rPr>
      </w:pPr>
      <w:r w:rsidRPr="00CE1613">
        <w:rPr>
          <w:rFonts w:asciiTheme="minorEastAsia" w:eastAsiaTheme="minorEastAsia" w:hAnsiTheme="minorEastAsia" w:hint="eastAsia"/>
          <w:color w:val="000000"/>
        </w:rPr>
        <w:lastRenderedPageBreak/>
        <w:t>根据《中国人民共和国特种设备安全法》、《特种设备安全监察条例》、《山东省特种设备安全监察条例》规定，现将2013年青岛市特种设备安全状况</w:t>
      </w:r>
      <w:r w:rsidRPr="00CE1613">
        <w:rPr>
          <w:rFonts w:asciiTheme="minorEastAsia" w:eastAsiaTheme="minorEastAsia" w:hAnsiTheme="minorEastAsia" w:hint="eastAsia"/>
        </w:rPr>
        <w:t>公布</w:t>
      </w:r>
      <w:r w:rsidRPr="00CE1613">
        <w:rPr>
          <w:rFonts w:asciiTheme="minorEastAsia" w:eastAsiaTheme="minorEastAsia" w:hAnsiTheme="minorEastAsia" w:hint="eastAsia"/>
          <w:color w:val="000000"/>
        </w:rPr>
        <w:t>如下。</w:t>
      </w: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color w:val="000000"/>
          <w:shd w:val="clear" w:color="auto" w:fill="FFFFFF"/>
        </w:rPr>
      </w:pPr>
      <w:r w:rsidRPr="00CE1613">
        <w:rPr>
          <w:rFonts w:asciiTheme="minorEastAsia" w:eastAsiaTheme="minorEastAsia" w:hAnsiTheme="minorEastAsia" w:hint="eastAsia"/>
          <w:color w:val="000000"/>
          <w:shd w:val="clear" w:color="auto" w:fill="FFFFFF"/>
        </w:rPr>
        <w:t>一、特种设备的基本情况</w:t>
      </w:r>
    </w:p>
    <w:p w:rsidR="00CE1613" w:rsidRPr="00CE1613" w:rsidRDefault="00CE1613" w:rsidP="00A22C21">
      <w:pPr>
        <w:spacing w:line="360" w:lineRule="auto"/>
        <w:ind w:firstLineChars="200" w:firstLine="480"/>
        <w:rPr>
          <w:rFonts w:asciiTheme="minorEastAsia" w:hAnsiTheme="minorEastAsia"/>
          <w:sz w:val="24"/>
          <w:szCs w:val="24"/>
        </w:rPr>
      </w:pPr>
      <w:r w:rsidRPr="00CE1613">
        <w:rPr>
          <w:rFonts w:asciiTheme="minorEastAsia" w:hAnsiTheme="minorEastAsia" w:hint="eastAsia"/>
          <w:sz w:val="24"/>
          <w:szCs w:val="24"/>
        </w:rPr>
        <w:t>特种设备是指对人身和财产安全有较大危险性的锅炉、压力容器（含气瓶）、压力管道、电梯、起重机械、客运索道、大型游乐设施和场（厂）内专用机动车辆。</w:t>
      </w:r>
    </w:p>
    <w:p w:rsidR="00CE1613" w:rsidRPr="00CE1613" w:rsidRDefault="00CE1613" w:rsidP="00A22C21">
      <w:pPr>
        <w:pStyle w:val="a8"/>
        <w:spacing w:before="0" w:beforeAutospacing="0" w:after="0" w:afterAutospacing="0" w:line="360" w:lineRule="auto"/>
        <w:jc w:val="both"/>
        <w:rPr>
          <w:rFonts w:asciiTheme="minorEastAsia" w:eastAsiaTheme="minorEastAsia" w:hAnsiTheme="minorEastAsia" w:cs="楷体_GB2312"/>
          <w:b/>
        </w:rPr>
      </w:pPr>
      <w:r w:rsidRPr="00CE1613">
        <w:rPr>
          <w:rFonts w:asciiTheme="minorEastAsia" w:eastAsiaTheme="minorEastAsia" w:hAnsiTheme="minorEastAsia" w:cs="楷体_GB2312" w:hint="eastAsia"/>
          <w:b/>
        </w:rPr>
        <w:t xml:space="preserve">    （一）特种设备使用有关情况</w:t>
      </w:r>
    </w:p>
    <w:p w:rsidR="00CE1613" w:rsidRPr="00CE1613" w:rsidRDefault="00CE1613" w:rsidP="00A22C21">
      <w:pPr>
        <w:pStyle w:val="a8"/>
        <w:spacing w:before="0" w:beforeAutospacing="0" w:after="0" w:afterAutospacing="0" w:line="360" w:lineRule="auto"/>
        <w:ind w:firstLineChars="200" w:firstLine="480"/>
        <w:jc w:val="both"/>
        <w:rPr>
          <w:rFonts w:asciiTheme="minorEastAsia" w:eastAsiaTheme="minorEastAsia" w:hAnsiTheme="minorEastAsia"/>
          <w:color w:val="000000"/>
        </w:rPr>
      </w:pPr>
      <w:r w:rsidRPr="00CE1613">
        <w:rPr>
          <w:rFonts w:asciiTheme="minorEastAsia" w:eastAsiaTheme="minorEastAsia" w:hAnsiTheme="minorEastAsia" w:hint="eastAsia"/>
        </w:rPr>
        <w:t>2013</w:t>
      </w:r>
      <w:r w:rsidRPr="00CE1613">
        <w:rPr>
          <w:rFonts w:asciiTheme="minorEastAsia" w:eastAsiaTheme="minorEastAsia" w:hAnsiTheme="minorEastAsia" w:hint="eastAsia"/>
          <w:color w:val="000000"/>
        </w:rPr>
        <w:t>年</w:t>
      </w:r>
      <w:r w:rsidRPr="00CE1613">
        <w:rPr>
          <w:rFonts w:asciiTheme="minorEastAsia" w:eastAsiaTheme="minorEastAsia" w:hAnsiTheme="minorEastAsia" w:hint="eastAsia"/>
        </w:rPr>
        <w:t>全市办理使用登记特种设备9884台，增幅为</w:t>
      </w:r>
      <w:r w:rsidRPr="00CE1613">
        <w:rPr>
          <w:rFonts w:asciiTheme="minorEastAsia" w:eastAsiaTheme="minorEastAsia" w:hAnsiTheme="minorEastAsia" w:hint="eastAsia"/>
          <w:color w:val="000000"/>
        </w:rPr>
        <w:t>13.8%。</w:t>
      </w:r>
    </w:p>
    <w:p w:rsidR="00CE1613" w:rsidRPr="00CE1613" w:rsidRDefault="00CE1613" w:rsidP="00A22C21">
      <w:pPr>
        <w:pStyle w:val="a8"/>
        <w:spacing w:before="0" w:beforeAutospacing="0" w:after="0" w:afterAutospacing="0" w:line="360" w:lineRule="auto"/>
        <w:ind w:firstLineChars="200" w:firstLine="480"/>
        <w:jc w:val="both"/>
        <w:rPr>
          <w:rFonts w:asciiTheme="minorEastAsia" w:eastAsiaTheme="minorEastAsia" w:hAnsiTheme="minorEastAsia"/>
        </w:rPr>
      </w:pPr>
      <w:r w:rsidRPr="00CE1613">
        <w:rPr>
          <w:rFonts w:asciiTheme="minorEastAsia" w:eastAsiaTheme="minorEastAsia" w:hAnsiTheme="minorEastAsia" w:hint="eastAsia"/>
        </w:rPr>
        <w:t>截止2013年底，全市已累计办理使用登记特种设备79915台，居全省第一位。（其中，锅炉5128台、压力容器28703台、电梯23461台、起重机械17162台、客运索道8台、大型游乐设施157台、场（厂）内专用机动车辆5296台）；另外，办理使用登记各类气瓶43.6万余只；办理使用登记工业压力管道13306条，约912千米。</w:t>
      </w:r>
    </w:p>
    <w:p w:rsidR="00CE1613" w:rsidRPr="00CE1613" w:rsidRDefault="00CE1613" w:rsidP="00A22C21">
      <w:pPr>
        <w:pStyle w:val="a8"/>
        <w:spacing w:before="0" w:beforeAutospacing="0" w:after="0" w:afterAutospacing="0" w:line="360" w:lineRule="auto"/>
        <w:ind w:firstLineChars="200" w:firstLine="480"/>
        <w:jc w:val="both"/>
        <w:rPr>
          <w:rFonts w:asciiTheme="minorEastAsia" w:eastAsiaTheme="minorEastAsia" w:hAnsiTheme="minorEastAsia"/>
        </w:rPr>
      </w:pPr>
      <w:r w:rsidRPr="00CE1613">
        <w:rPr>
          <w:rFonts w:asciiTheme="minorEastAsia" w:eastAsiaTheme="minorEastAsia" w:hAnsiTheme="minorEastAsia" w:hint="eastAsia"/>
        </w:rPr>
        <w:t>数量增长较快的特种设备主要为机电类特种设备：</w:t>
      </w:r>
      <w:r w:rsidRPr="00CE1613">
        <w:rPr>
          <w:rFonts w:asciiTheme="minorEastAsia" w:eastAsiaTheme="minorEastAsia" w:hAnsiTheme="minorEastAsia" w:hint="eastAsia"/>
          <w:b/>
        </w:rPr>
        <w:t>电梯</w:t>
      </w:r>
      <w:r w:rsidRPr="00CE1613">
        <w:rPr>
          <w:rFonts w:asciiTheme="minorEastAsia" w:eastAsiaTheme="minorEastAsia" w:hAnsiTheme="minorEastAsia" w:hint="eastAsia"/>
        </w:rPr>
        <w:t>、大型游乐设施、场（厂）内专用机动车辆、起重机械，分别较同期增长</w:t>
      </w:r>
      <w:r w:rsidRPr="00CE1613">
        <w:rPr>
          <w:rFonts w:asciiTheme="minorEastAsia" w:eastAsiaTheme="minorEastAsia" w:hAnsiTheme="minorEastAsia" w:hint="eastAsia"/>
          <w:b/>
        </w:rPr>
        <w:t>29.20%</w:t>
      </w:r>
      <w:r w:rsidRPr="00CE1613">
        <w:rPr>
          <w:rFonts w:asciiTheme="minorEastAsia" w:eastAsiaTheme="minorEastAsia" w:hAnsiTheme="minorEastAsia" w:hint="eastAsia"/>
        </w:rPr>
        <w:t>、14.60%、</w:t>
      </w:r>
      <w:r w:rsidRPr="00CE1613">
        <w:rPr>
          <w:rFonts w:asciiTheme="minorEastAsia" w:eastAsiaTheme="minorEastAsia" w:hAnsiTheme="minorEastAsia" w:hint="eastAsia"/>
        </w:rPr>
        <w:lastRenderedPageBreak/>
        <w:t>12.04%、9.12%，其中电梯增长速度尤其迅猛，预计今后几年都会保持这种增长趋势。</w:t>
      </w: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rPr>
      </w:pPr>
    </w:p>
    <w:p w:rsidR="00CE1613" w:rsidRPr="00CE1613" w:rsidRDefault="00CE1613" w:rsidP="00A22C21">
      <w:pPr>
        <w:pStyle w:val="a8"/>
        <w:spacing w:before="0" w:beforeAutospacing="0" w:after="0" w:afterAutospacing="0" w:line="360" w:lineRule="auto"/>
        <w:jc w:val="center"/>
        <w:rPr>
          <w:rFonts w:asciiTheme="minorEastAsia" w:eastAsiaTheme="minorEastAsia" w:hAnsiTheme="minorEastAsia"/>
        </w:rPr>
      </w:pPr>
    </w:p>
    <w:p w:rsidR="00CE1613" w:rsidRPr="00CE1613" w:rsidRDefault="00CE1613" w:rsidP="00A22C21">
      <w:pPr>
        <w:pStyle w:val="a8"/>
        <w:spacing w:before="0" w:beforeAutospacing="0" w:after="0" w:afterAutospacing="0" w:line="360" w:lineRule="auto"/>
        <w:rPr>
          <w:rFonts w:asciiTheme="minorEastAsia" w:eastAsiaTheme="minorEastAsia" w:hAnsiTheme="minorEastAsia"/>
          <w:color w:val="000000"/>
        </w:rPr>
      </w:pPr>
      <w:r w:rsidRPr="00CE1613">
        <w:rPr>
          <w:rFonts w:asciiTheme="minorEastAsia" w:eastAsiaTheme="minorEastAsia" w:hAnsiTheme="minorEastAsia"/>
          <w:color w:val="000000"/>
        </w:rPr>
        <w:br w:type="textWrapping" w:clear="all"/>
      </w:r>
      <w:r w:rsidRPr="00CE1613">
        <w:rPr>
          <w:rFonts w:asciiTheme="minorEastAsia" w:eastAsiaTheme="minorEastAsia" w:hAnsiTheme="minorEastAsia" w:hint="eastAsia"/>
          <w:color w:val="000000"/>
        </w:rPr>
        <w:t xml:space="preserve">    2013年全市特种设备使用单位13846家，涉及石油、化工、电力、机械、船舶、纺织、轻工等工业领域和商场、宾馆、学校、医院、机关办公等场所以及居民住宅小区。</w:t>
      </w: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rPr>
      </w:pPr>
      <w:r w:rsidRPr="00CE1613">
        <w:rPr>
          <w:rFonts w:asciiTheme="minorEastAsia" w:eastAsiaTheme="minorEastAsia" w:hAnsiTheme="minorEastAsia" w:hint="eastAsia"/>
        </w:rPr>
        <w:t>2013年全市气瓶充装站385家（其中，液化石油气充装站265家、工业气体充装站52家、车用气瓶充装站68家）。</w:t>
      </w: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color w:val="000000"/>
        </w:rPr>
      </w:pPr>
      <w:r w:rsidRPr="00CE1613">
        <w:rPr>
          <w:rFonts w:asciiTheme="minorEastAsia" w:eastAsiaTheme="minorEastAsia" w:hAnsiTheme="minorEastAsia" w:hint="eastAsia"/>
        </w:rPr>
        <w:t>2013年全市</w:t>
      </w:r>
      <w:r w:rsidRPr="00CE1613">
        <w:rPr>
          <w:rFonts w:asciiTheme="minorEastAsia" w:eastAsiaTheme="minorEastAsia" w:hAnsiTheme="minorEastAsia" w:hint="eastAsia"/>
          <w:color w:val="000000"/>
        </w:rPr>
        <w:t>特种设备安全管理人员</w:t>
      </w:r>
      <w:r w:rsidRPr="00CE1613">
        <w:rPr>
          <w:rFonts w:asciiTheme="minorEastAsia" w:eastAsiaTheme="minorEastAsia" w:hAnsiTheme="minorEastAsia" w:hint="eastAsia"/>
        </w:rPr>
        <w:t>资格证</w:t>
      </w:r>
      <w:r w:rsidRPr="00CE1613">
        <w:rPr>
          <w:rFonts w:asciiTheme="minorEastAsia" w:eastAsiaTheme="minorEastAsia" w:hAnsiTheme="minorEastAsia" w:hint="eastAsia"/>
          <w:color w:val="000000"/>
        </w:rPr>
        <w:t>共5202项，特种设备作业人员资格证共93730项。</w:t>
      </w: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b/>
        </w:rPr>
      </w:pPr>
      <w:r w:rsidRPr="00CE1613">
        <w:rPr>
          <w:rFonts w:asciiTheme="minorEastAsia" w:eastAsiaTheme="minorEastAsia" w:hAnsiTheme="minorEastAsia" w:hint="eastAsia"/>
          <w:b/>
        </w:rPr>
        <w:t>（二）特种设备生产有关情况</w:t>
      </w:r>
    </w:p>
    <w:p w:rsidR="00CE1613" w:rsidRPr="00CE1613" w:rsidRDefault="00CE1613" w:rsidP="00A22C21">
      <w:pPr>
        <w:pStyle w:val="a8"/>
        <w:spacing w:before="0" w:beforeAutospacing="0" w:after="0" w:afterAutospacing="0" w:line="360" w:lineRule="auto"/>
        <w:ind w:firstLineChars="197" w:firstLine="473"/>
        <w:jc w:val="both"/>
        <w:rPr>
          <w:rFonts w:asciiTheme="minorEastAsia" w:eastAsiaTheme="minorEastAsia" w:hAnsiTheme="minorEastAsia"/>
        </w:rPr>
      </w:pPr>
      <w:r w:rsidRPr="00CE1613">
        <w:rPr>
          <w:rFonts w:asciiTheme="minorEastAsia" w:eastAsiaTheme="minorEastAsia" w:hAnsiTheme="minorEastAsia" w:hint="eastAsia"/>
        </w:rPr>
        <w:t>截止2013年底，全市特种设备生产单位408家（其中，设计单位47家、制造单位139家、安装改造维修单位222家，详见附件1）。</w:t>
      </w:r>
    </w:p>
    <w:p w:rsidR="00CE1613" w:rsidRPr="00CE1613" w:rsidRDefault="00CE1613" w:rsidP="00A22C21">
      <w:pPr>
        <w:pStyle w:val="a8"/>
        <w:spacing w:before="0" w:beforeAutospacing="0" w:after="0" w:afterAutospacing="0" w:line="360" w:lineRule="auto"/>
        <w:ind w:firstLine="641"/>
        <w:jc w:val="both"/>
        <w:rPr>
          <w:rFonts w:asciiTheme="minorEastAsia" w:eastAsiaTheme="minorEastAsia" w:hAnsiTheme="minorEastAsia"/>
          <w:color w:val="FF00FF"/>
        </w:rPr>
      </w:pPr>
      <w:r w:rsidRPr="00CE1613">
        <w:rPr>
          <w:rFonts w:asciiTheme="minorEastAsia" w:eastAsiaTheme="minorEastAsia" w:hAnsiTheme="minorEastAsia" w:hint="eastAsia"/>
        </w:rPr>
        <w:t>2013年全市共制造锅炉1415台、压力容器24976台、起重机械275台、气瓶105000只</w:t>
      </w:r>
      <w:r w:rsidRPr="00CE1613">
        <w:rPr>
          <w:rFonts w:asciiTheme="minorEastAsia" w:eastAsiaTheme="minorEastAsia" w:hAnsiTheme="minorEastAsia" w:hint="eastAsia"/>
          <w:i/>
        </w:rPr>
        <w:t>。</w:t>
      </w:r>
    </w:p>
    <w:p w:rsidR="00CE1613" w:rsidRPr="00CE1613" w:rsidRDefault="00CE1613" w:rsidP="00A22C21">
      <w:pPr>
        <w:pStyle w:val="a8"/>
        <w:spacing w:before="0" w:beforeAutospacing="0" w:after="0" w:afterAutospacing="0" w:line="360" w:lineRule="auto"/>
        <w:ind w:firstLine="643"/>
        <w:jc w:val="both"/>
        <w:rPr>
          <w:rFonts w:asciiTheme="minorEastAsia" w:eastAsiaTheme="minorEastAsia" w:hAnsiTheme="minorEastAsia"/>
          <w:b/>
        </w:rPr>
      </w:pPr>
      <w:r w:rsidRPr="00CE1613">
        <w:rPr>
          <w:rFonts w:asciiTheme="minorEastAsia" w:eastAsiaTheme="minorEastAsia" w:hAnsiTheme="minorEastAsia" w:hint="eastAsia"/>
          <w:b/>
        </w:rPr>
        <w:lastRenderedPageBreak/>
        <w:t>（三）特种设备检验检测有关情况</w:t>
      </w: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rPr>
      </w:pPr>
      <w:r w:rsidRPr="00CE1613">
        <w:rPr>
          <w:rFonts w:asciiTheme="minorEastAsia" w:eastAsiaTheme="minorEastAsia" w:hAnsiTheme="minorEastAsia" w:hint="eastAsia"/>
        </w:rPr>
        <w:t>截止2013年底，全市特种设备检验机构共21个（其中，综合性检验机构1个、行业检验机构1个、气瓶检验机构11个、两工地起重机械检验机构1个、安全阀检验机构3个、无损检测机构7个，详见附件2）。</w:t>
      </w:r>
    </w:p>
    <w:p w:rsidR="00CE1613" w:rsidRPr="00CE1613" w:rsidRDefault="00CE1613" w:rsidP="00A22C21">
      <w:pPr>
        <w:pStyle w:val="p0"/>
        <w:spacing w:line="360" w:lineRule="auto"/>
        <w:ind w:firstLineChars="200" w:firstLine="480"/>
        <w:rPr>
          <w:rFonts w:asciiTheme="minorEastAsia" w:eastAsiaTheme="minorEastAsia" w:hAnsiTheme="minorEastAsia"/>
          <w:sz w:val="24"/>
          <w:szCs w:val="24"/>
        </w:rPr>
      </w:pPr>
      <w:r w:rsidRPr="00CE1613">
        <w:rPr>
          <w:rFonts w:asciiTheme="minorEastAsia" w:eastAsiaTheme="minorEastAsia" w:hAnsiTheme="minorEastAsia" w:hint="eastAsia"/>
          <w:sz w:val="24"/>
          <w:szCs w:val="24"/>
        </w:rPr>
        <w:t>2013年检验机构对26666台特种设备制造过程进行了监督检验，共开具联络单11份、意见通知书55份，发现并督促企业处理质量安全问题280个。主要问题为：设计方面问题21条，工艺方面问题6条，机械制作与加工方面问题10条，焊接方面问题11条，热处理方面问题3条，无损检测方面问题56条，检验与试验方面问题10条，出厂资料方面问题158条，质量管理方面问题5条。</w:t>
      </w:r>
    </w:p>
    <w:p w:rsidR="00CE1613" w:rsidRPr="00CE1613" w:rsidRDefault="00CE1613" w:rsidP="00A22C21">
      <w:pPr>
        <w:pStyle w:val="p0"/>
        <w:spacing w:line="360" w:lineRule="auto"/>
        <w:ind w:firstLineChars="335" w:firstLine="804"/>
        <w:rPr>
          <w:rFonts w:asciiTheme="minorEastAsia" w:eastAsiaTheme="minorEastAsia" w:hAnsiTheme="minorEastAsia"/>
          <w:sz w:val="24"/>
          <w:szCs w:val="24"/>
        </w:rPr>
      </w:pPr>
      <w:r w:rsidRPr="00CE1613">
        <w:rPr>
          <w:rFonts w:asciiTheme="minorEastAsia" w:eastAsiaTheme="minorEastAsia" w:hAnsiTheme="minorEastAsia" w:hint="eastAsia"/>
          <w:sz w:val="24"/>
          <w:szCs w:val="24"/>
        </w:rPr>
        <w:t>2013年检验机构对18005台特种设备安装、改造、维修过程进行了监督检验，共开具联络单515份，开具意见书2056份，发现并督促企业处理质量安全问题621个。主要问题为：工艺方面问题1条，焊接方面问题2条，热处理方面问题1条，无损检测方面问题3条，控制系统方面问题4条，检验与试验方面问题258条，调试方面问题15条，竣工资料方面问题5条，</w:t>
      </w:r>
      <w:r w:rsidRPr="00CE1613">
        <w:rPr>
          <w:rFonts w:asciiTheme="minorEastAsia" w:eastAsiaTheme="minorEastAsia" w:hAnsiTheme="minorEastAsia" w:hint="eastAsia"/>
          <w:sz w:val="24"/>
          <w:szCs w:val="24"/>
        </w:rPr>
        <w:lastRenderedPageBreak/>
        <w:t>质量管理方面问题2条，其他方面问题330条。</w:t>
      </w: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rPr>
      </w:pPr>
      <w:r w:rsidRPr="00CE1613">
        <w:rPr>
          <w:rFonts w:asciiTheme="minorEastAsia" w:eastAsiaTheme="minorEastAsia" w:hAnsiTheme="minorEastAsia" w:hint="eastAsia"/>
        </w:rPr>
        <w:t>2013年检验机构对</w:t>
      </w:r>
      <w:r w:rsidRPr="00CE1613">
        <w:rPr>
          <w:rFonts w:asciiTheme="minorEastAsia" w:eastAsiaTheme="minorEastAsia" w:hAnsiTheme="minorEastAsia"/>
        </w:rPr>
        <w:t>11542</w:t>
      </w:r>
      <w:r w:rsidRPr="00CE1613">
        <w:rPr>
          <w:rFonts w:asciiTheme="minorEastAsia" w:eastAsiaTheme="minorEastAsia" w:hAnsiTheme="minorEastAsia" w:hint="eastAsia"/>
        </w:rPr>
        <w:t>台在用承压类特种设备进行了定期检验，定检率为</w:t>
      </w:r>
      <w:r w:rsidRPr="00CE1613">
        <w:rPr>
          <w:rFonts w:asciiTheme="minorEastAsia" w:eastAsiaTheme="minorEastAsia" w:hAnsiTheme="minorEastAsia"/>
        </w:rPr>
        <w:t>98.16</w:t>
      </w:r>
      <w:r w:rsidRPr="00CE1613">
        <w:rPr>
          <w:rFonts w:asciiTheme="minorEastAsia" w:eastAsiaTheme="minorEastAsia" w:hAnsiTheme="minorEastAsia" w:hint="eastAsia"/>
        </w:rPr>
        <w:t xml:space="preserve"> %（其中锅炉为97.70%,压力容器为98.30%，气瓶为96.10%），对</w:t>
      </w:r>
      <w:r w:rsidRPr="00CE1613">
        <w:rPr>
          <w:rFonts w:asciiTheme="minorEastAsia" w:eastAsiaTheme="minorEastAsia" w:hAnsiTheme="minorEastAsia"/>
        </w:rPr>
        <w:t>29576</w:t>
      </w:r>
      <w:r w:rsidRPr="00CE1613">
        <w:rPr>
          <w:rFonts w:asciiTheme="minorEastAsia" w:eastAsiaTheme="minorEastAsia" w:hAnsiTheme="minorEastAsia" w:hint="eastAsia"/>
        </w:rPr>
        <w:t>台在用机电类特种设备进行了定期检验，定检率为</w:t>
      </w:r>
      <w:r w:rsidRPr="00CE1613">
        <w:rPr>
          <w:rFonts w:asciiTheme="minorEastAsia" w:eastAsiaTheme="minorEastAsia" w:hAnsiTheme="minorEastAsia"/>
        </w:rPr>
        <w:t>95.42</w:t>
      </w:r>
      <w:r w:rsidRPr="00CE1613">
        <w:rPr>
          <w:rFonts w:asciiTheme="minorEastAsia" w:eastAsiaTheme="minorEastAsia" w:hAnsiTheme="minorEastAsia" w:hint="eastAsia"/>
        </w:rPr>
        <w:t xml:space="preserve"> %（其中电梯为94.81%,起重机械为</w:t>
      </w:r>
      <w:r w:rsidRPr="00CE1613">
        <w:rPr>
          <w:rFonts w:asciiTheme="minorEastAsia" w:eastAsiaTheme="minorEastAsia" w:hAnsiTheme="minorEastAsia"/>
        </w:rPr>
        <w:t>97.01</w:t>
      </w:r>
      <w:r w:rsidRPr="00CE1613">
        <w:rPr>
          <w:rFonts w:asciiTheme="minorEastAsia" w:eastAsiaTheme="minorEastAsia" w:hAnsiTheme="minorEastAsia" w:hint="eastAsia"/>
        </w:rPr>
        <w:t>%，场（厂）内专用机动车辆为</w:t>
      </w:r>
      <w:r w:rsidRPr="00CE1613">
        <w:rPr>
          <w:rFonts w:asciiTheme="minorEastAsia" w:eastAsiaTheme="minorEastAsia" w:hAnsiTheme="minorEastAsia"/>
        </w:rPr>
        <w:t>95.91</w:t>
      </w:r>
      <w:r w:rsidRPr="00CE1613">
        <w:rPr>
          <w:rFonts w:asciiTheme="minorEastAsia" w:eastAsiaTheme="minorEastAsia" w:hAnsiTheme="minorEastAsia" w:hint="eastAsia"/>
        </w:rPr>
        <w:t>%，客运索道为100%，大型游乐设施为</w:t>
      </w:r>
      <w:r w:rsidRPr="00CE1613">
        <w:rPr>
          <w:rFonts w:asciiTheme="minorEastAsia" w:eastAsiaTheme="minorEastAsia" w:hAnsiTheme="minorEastAsia"/>
        </w:rPr>
        <w:t>94.27</w:t>
      </w:r>
      <w:r w:rsidRPr="00CE1613">
        <w:rPr>
          <w:rFonts w:asciiTheme="minorEastAsia" w:eastAsiaTheme="minorEastAsia" w:hAnsiTheme="minorEastAsia" w:hint="eastAsia"/>
        </w:rPr>
        <w:t>%），发现并督促企业处理安全问题5344个，其中：技术资料方面问题166条，腐蚀方面问题20条，安全附件方面问题15条，机械传动方面问题146条，液（气）压传动方面问题33条，电器系统方面问题234条，金属结构方面问题4条，安全保护装置方面问题324条，其它问题4402条。</w:t>
      </w: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b/>
        </w:rPr>
      </w:pPr>
      <w:r w:rsidRPr="00CE1613">
        <w:rPr>
          <w:rFonts w:asciiTheme="minorEastAsia" w:eastAsiaTheme="minorEastAsia" w:hAnsiTheme="minorEastAsia" w:hint="eastAsia"/>
          <w:b/>
        </w:rPr>
        <w:t>（四）特种设备安全监察队伍及执法有关情况</w:t>
      </w: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rPr>
      </w:pPr>
      <w:r w:rsidRPr="00CE1613">
        <w:rPr>
          <w:rFonts w:asciiTheme="minorEastAsia" w:eastAsiaTheme="minorEastAsia" w:hAnsiTheme="minorEastAsia" w:hint="eastAsia"/>
        </w:rPr>
        <w:t>截止2013年底，全市质监系统共有特种设备安全监察机构14个，其中市局1个，区、市（分）局13个。特种设备专（兼）职安全监察人员共66人。</w:t>
      </w:r>
    </w:p>
    <w:p w:rsidR="00CE1613" w:rsidRPr="00CE1613" w:rsidRDefault="00CE1613" w:rsidP="00A22C21">
      <w:pPr>
        <w:spacing w:line="360" w:lineRule="auto"/>
        <w:ind w:firstLineChars="200" w:firstLine="480"/>
        <w:rPr>
          <w:rFonts w:asciiTheme="minorEastAsia" w:hAnsiTheme="minorEastAsia"/>
          <w:sz w:val="24"/>
          <w:szCs w:val="24"/>
        </w:rPr>
      </w:pPr>
      <w:r w:rsidRPr="00CE1613">
        <w:rPr>
          <w:rFonts w:asciiTheme="minorEastAsia" w:hAnsiTheme="minorEastAsia" w:hint="eastAsia"/>
          <w:sz w:val="24"/>
          <w:szCs w:val="24"/>
        </w:rPr>
        <w:t>2013年质监部门组织开展特种设备执法监督检查累计出动执法人员7728人（次），检查发现较严重安全隐</w:t>
      </w:r>
      <w:r w:rsidRPr="00CE1613">
        <w:rPr>
          <w:rFonts w:asciiTheme="minorEastAsia" w:hAnsiTheme="minorEastAsia" w:hint="eastAsia"/>
          <w:sz w:val="24"/>
          <w:szCs w:val="24"/>
        </w:rPr>
        <w:lastRenderedPageBreak/>
        <w:t>患特种设备43台，已督促相关单位进行了整改。下达安全监察指令书793份，立案处罚违规行为34起。</w:t>
      </w:r>
    </w:p>
    <w:p w:rsidR="00CE1613" w:rsidRPr="00CE1613" w:rsidRDefault="00CE1613" w:rsidP="00A22C21">
      <w:pPr>
        <w:tabs>
          <w:tab w:val="left" w:pos="980"/>
        </w:tabs>
        <w:spacing w:line="360" w:lineRule="auto"/>
        <w:ind w:firstLineChars="200" w:firstLine="480"/>
        <w:rPr>
          <w:rFonts w:asciiTheme="minorEastAsia" w:hAnsiTheme="minorEastAsia"/>
          <w:sz w:val="24"/>
          <w:szCs w:val="24"/>
          <w:shd w:val="clear" w:color="auto" w:fill="FFFFFF"/>
        </w:rPr>
      </w:pPr>
      <w:r w:rsidRPr="00CE1613">
        <w:rPr>
          <w:rFonts w:asciiTheme="minorEastAsia" w:hAnsiTheme="minorEastAsia" w:hint="eastAsia"/>
          <w:sz w:val="24"/>
          <w:szCs w:val="24"/>
        </w:rPr>
        <w:t>2013年质监部门按规定对全市107家特种设备生产单位、6  家特种设备检验机构进行了监督抽查，</w:t>
      </w:r>
      <w:r w:rsidRPr="00CE1613">
        <w:rPr>
          <w:rFonts w:asciiTheme="minorEastAsia" w:hAnsiTheme="minorEastAsia" w:hint="eastAsia"/>
          <w:sz w:val="24"/>
          <w:szCs w:val="24"/>
          <w:shd w:val="clear" w:color="auto" w:fill="FFFFFF"/>
        </w:rPr>
        <w:t>对全市</w:t>
      </w:r>
      <w:r w:rsidRPr="00CE1613">
        <w:rPr>
          <w:rFonts w:asciiTheme="minorEastAsia" w:hAnsiTheme="minorEastAsia" w:hint="eastAsia"/>
          <w:sz w:val="24"/>
          <w:szCs w:val="24"/>
        </w:rPr>
        <w:t>16302</w:t>
      </w:r>
      <w:r w:rsidRPr="00CE1613">
        <w:rPr>
          <w:rFonts w:asciiTheme="minorEastAsia" w:hAnsiTheme="minorEastAsia" w:hint="eastAsia"/>
          <w:sz w:val="24"/>
          <w:szCs w:val="24"/>
          <w:shd w:val="clear" w:color="auto" w:fill="FFFFFF"/>
        </w:rPr>
        <w:t>名特种设备作业人员进行了考核发证。</w:t>
      </w:r>
    </w:p>
    <w:p w:rsidR="00CE1613" w:rsidRPr="00CE1613" w:rsidRDefault="00CE1613" w:rsidP="00A22C21">
      <w:pPr>
        <w:spacing w:line="360" w:lineRule="auto"/>
        <w:ind w:firstLineChars="200" w:firstLine="480"/>
        <w:rPr>
          <w:rFonts w:asciiTheme="minorEastAsia" w:hAnsiTheme="minorEastAsia"/>
          <w:sz w:val="24"/>
          <w:szCs w:val="24"/>
        </w:rPr>
      </w:pPr>
      <w:r w:rsidRPr="00CE1613">
        <w:rPr>
          <w:rFonts w:asciiTheme="minorEastAsia" w:hAnsiTheme="minorEastAsia" w:hint="eastAsia"/>
          <w:sz w:val="24"/>
          <w:szCs w:val="24"/>
          <w:shd w:val="clear" w:color="auto" w:fill="FFFFFF"/>
        </w:rPr>
        <w:t>二、特种设备的</w:t>
      </w:r>
      <w:r w:rsidRPr="00CE1613">
        <w:rPr>
          <w:rFonts w:asciiTheme="minorEastAsia" w:hAnsiTheme="minorEastAsia" w:hint="eastAsia"/>
          <w:sz w:val="24"/>
          <w:szCs w:val="24"/>
        </w:rPr>
        <w:t>风险分析研判</w:t>
      </w: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rPr>
      </w:pPr>
      <w:r w:rsidRPr="00CE1613">
        <w:rPr>
          <w:rFonts w:asciiTheme="minorEastAsia" w:eastAsiaTheme="minorEastAsia" w:hAnsiTheme="minorEastAsia" w:hint="eastAsia"/>
        </w:rPr>
        <w:t>2013年全市特种设备安全形势保持稳定，但特种设备安全风险仍然存在，需要客观进行分析研判。</w:t>
      </w:r>
    </w:p>
    <w:p w:rsidR="00CE1613" w:rsidRPr="00CE1613" w:rsidRDefault="00CE1613" w:rsidP="00A22C21">
      <w:pPr>
        <w:numPr>
          <w:ilvl w:val="0"/>
          <w:numId w:val="1"/>
        </w:numPr>
        <w:spacing w:line="360" w:lineRule="auto"/>
        <w:ind w:firstLineChars="200" w:firstLine="482"/>
        <w:rPr>
          <w:rFonts w:asciiTheme="minorEastAsia" w:hAnsiTheme="minorEastAsia" w:cs="楷体_GB2312"/>
          <w:b/>
          <w:sz w:val="24"/>
          <w:szCs w:val="24"/>
        </w:rPr>
      </w:pPr>
      <w:r w:rsidRPr="00CE1613">
        <w:rPr>
          <w:rFonts w:asciiTheme="minorEastAsia" w:hAnsiTheme="minorEastAsia" w:cs="楷体_GB2312" w:hint="eastAsia"/>
          <w:b/>
          <w:sz w:val="24"/>
          <w:szCs w:val="24"/>
        </w:rPr>
        <w:t>特种设备数量多，增幅大，人机矛盾严重。</w:t>
      </w:r>
    </w:p>
    <w:p w:rsidR="00CE1613" w:rsidRPr="00CE1613" w:rsidRDefault="00CE1613" w:rsidP="00A22C21">
      <w:pPr>
        <w:spacing w:line="360" w:lineRule="auto"/>
        <w:rPr>
          <w:rFonts w:asciiTheme="minorEastAsia" w:hAnsiTheme="minorEastAsia" w:cs="宋体"/>
          <w:kern w:val="0"/>
          <w:sz w:val="24"/>
          <w:szCs w:val="24"/>
        </w:rPr>
      </w:pPr>
      <w:r w:rsidRPr="00CE1613">
        <w:rPr>
          <w:rFonts w:asciiTheme="minorEastAsia" w:hAnsiTheme="minorEastAsia" w:hint="eastAsia"/>
          <w:sz w:val="24"/>
          <w:szCs w:val="24"/>
        </w:rPr>
        <w:t xml:space="preserve">    随着全市经济的持续发展，近几年特种设备年均增幅达13%以上，呈现以下几个特点</w:t>
      </w:r>
      <w:r w:rsidRPr="00CE1613">
        <w:rPr>
          <w:rFonts w:asciiTheme="minorEastAsia" w:hAnsiTheme="minorEastAsia" w:cs="宋体" w:hint="eastAsia"/>
          <w:kern w:val="0"/>
          <w:sz w:val="24"/>
          <w:szCs w:val="24"/>
        </w:rPr>
        <w:t>：一是我市特种设备数量巨大，位于全省17地市首位，约占全省总数的1/8以上；二是特种设备分布相对集中，并</w:t>
      </w:r>
      <w:r w:rsidRPr="00CE1613">
        <w:rPr>
          <w:rFonts w:asciiTheme="minorEastAsia" w:hAnsiTheme="minorEastAsia" w:hint="eastAsia"/>
          <w:sz w:val="24"/>
          <w:szCs w:val="24"/>
        </w:rPr>
        <w:t>朝着大型化、高参数、高风险方向发展</w:t>
      </w:r>
      <w:r w:rsidRPr="00CE1613">
        <w:rPr>
          <w:rFonts w:asciiTheme="minorEastAsia" w:hAnsiTheme="minorEastAsia" w:cs="宋体" w:hint="eastAsia"/>
          <w:kern w:val="0"/>
          <w:sz w:val="24"/>
          <w:szCs w:val="24"/>
        </w:rPr>
        <w:t>；三是</w:t>
      </w:r>
      <w:r w:rsidRPr="00CE1613">
        <w:rPr>
          <w:rFonts w:asciiTheme="minorEastAsia" w:hAnsiTheme="minorEastAsia" w:hint="eastAsia"/>
          <w:sz w:val="24"/>
          <w:szCs w:val="24"/>
        </w:rPr>
        <w:t>全市安全监察机构专（兼）职安全监察人员只有66人，从人机配比看，人均监管数量1200多台以上，大大高于国家质检总局建议的人均500台的监管数量。</w:t>
      </w:r>
    </w:p>
    <w:p w:rsidR="00CE1613" w:rsidRPr="00CE1613" w:rsidRDefault="00CE1613" w:rsidP="00A22C21">
      <w:pPr>
        <w:numPr>
          <w:ilvl w:val="0"/>
          <w:numId w:val="2"/>
        </w:numPr>
        <w:spacing w:line="360" w:lineRule="auto"/>
        <w:ind w:firstLineChars="200" w:firstLine="482"/>
        <w:rPr>
          <w:rFonts w:asciiTheme="minorEastAsia" w:hAnsiTheme="minorEastAsia" w:cs="楷体_GB2312"/>
          <w:b/>
          <w:sz w:val="24"/>
          <w:szCs w:val="24"/>
        </w:rPr>
      </w:pPr>
      <w:r w:rsidRPr="00CE1613">
        <w:rPr>
          <w:rFonts w:asciiTheme="minorEastAsia" w:hAnsiTheme="minorEastAsia" w:cs="楷体_GB2312" w:hint="eastAsia"/>
          <w:b/>
          <w:sz w:val="24"/>
          <w:szCs w:val="24"/>
        </w:rPr>
        <w:t>取消垂直管理体制和管理职责划转。</w:t>
      </w:r>
    </w:p>
    <w:p w:rsidR="00CE1613" w:rsidRPr="00CE1613" w:rsidRDefault="00CE1613" w:rsidP="00A22C21">
      <w:pPr>
        <w:spacing w:line="360" w:lineRule="auto"/>
        <w:rPr>
          <w:rFonts w:asciiTheme="minorEastAsia" w:hAnsiTheme="minorEastAsia" w:cs="仿宋_GB2312"/>
          <w:sz w:val="24"/>
          <w:szCs w:val="24"/>
        </w:rPr>
      </w:pPr>
      <w:r w:rsidRPr="00CE1613">
        <w:rPr>
          <w:rFonts w:asciiTheme="minorEastAsia" w:hAnsiTheme="minorEastAsia" w:cs="仿宋_GB2312" w:hint="eastAsia"/>
          <w:sz w:val="24"/>
          <w:szCs w:val="24"/>
        </w:rPr>
        <w:t xml:space="preserve">    质监系统取消垂直管理体制后，青岛市局对各区、市（分）局由业务领</w:t>
      </w:r>
      <w:r w:rsidRPr="00CE1613">
        <w:rPr>
          <w:rFonts w:asciiTheme="minorEastAsia" w:hAnsiTheme="minorEastAsia" w:cs="仿宋_GB2312" w:hint="eastAsia"/>
          <w:sz w:val="24"/>
          <w:szCs w:val="24"/>
        </w:rPr>
        <w:lastRenderedPageBreak/>
        <w:t>导变为业务指导监督关系，必然会带来工作模式的改变。特种设备安全在两级质监部门的地位和职责更加突出，是各方关注的焦点。</w:t>
      </w:r>
    </w:p>
    <w:p w:rsidR="00CE1613" w:rsidRPr="00CE1613" w:rsidRDefault="00CE1613" w:rsidP="00A22C21">
      <w:pPr>
        <w:numPr>
          <w:ilvl w:val="0"/>
          <w:numId w:val="3"/>
        </w:numPr>
        <w:spacing w:line="360" w:lineRule="auto"/>
        <w:ind w:firstLineChars="201" w:firstLine="484"/>
        <w:rPr>
          <w:rFonts w:asciiTheme="minorEastAsia" w:hAnsiTheme="minorEastAsia" w:cs="楷体_GB2312"/>
          <w:b/>
          <w:sz w:val="24"/>
          <w:szCs w:val="24"/>
        </w:rPr>
      </w:pPr>
      <w:r w:rsidRPr="00CE1613">
        <w:rPr>
          <w:rFonts w:asciiTheme="minorEastAsia" w:hAnsiTheme="minorEastAsia" w:cs="楷体_GB2312" w:hint="eastAsia"/>
          <w:b/>
          <w:sz w:val="24"/>
          <w:szCs w:val="24"/>
        </w:rPr>
        <w:t>承压类特种设备需要高度重视。</w:t>
      </w:r>
    </w:p>
    <w:p w:rsidR="00CE1613" w:rsidRPr="00CE1613" w:rsidRDefault="00CE1613" w:rsidP="00A22C21">
      <w:pPr>
        <w:spacing w:line="360" w:lineRule="auto"/>
        <w:ind w:firstLineChars="200" w:firstLine="480"/>
        <w:rPr>
          <w:rFonts w:asciiTheme="minorEastAsia" w:hAnsiTheme="minorEastAsia" w:cs="楷体_GB2312"/>
          <w:b/>
          <w:sz w:val="24"/>
          <w:szCs w:val="24"/>
        </w:rPr>
      </w:pPr>
      <w:r w:rsidRPr="00CE1613">
        <w:rPr>
          <w:rFonts w:asciiTheme="minorEastAsia" w:hAnsiTheme="minorEastAsia" w:hint="eastAsia"/>
          <w:sz w:val="24"/>
          <w:szCs w:val="24"/>
        </w:rPr>
        <w:t>承压类【锅炉、压力容器（含气瓶）、</w:t>
      </w:r>
      <w:r w:rsidRPr="00CE1613">
        <w:rPr>
          <w:rFonts w:asciiTheme="minorEastAsia" w:hAnsiTheme="minorEastAsia" w:hint="eastAsia"/>
          <w:b/>
          <w:sz w:val="24"/>
          <w:szCs w:val="24"/>
        </w:rPr>
        <w:t>压力管道</w:t>
      </w:r>
      <w:r w:rsidRPr="00CE1613">
        <w:rPr>
          <w:rFonts w:asciiTheme="minorEastAsia" w:hAnsiTheme="minorEastAsia" w:hint="eastAsia"/>
          <w:sz w:val="24"/>
          <w:szCs w:val="24"/>
        </w:rPr>
        <w:t>等】特种设备一旦发生事故，主要表现形式是爆炸燃烧和高温高压、有毒有害介质泄漏。较高的风险有两类：一是事故后果严重。一旦发生重大事故，可能导致重大人员伤亡和经济损失，影响电力和热力供应，往往带来严重的环境污染甚至生态灾难，还可导致能源的运输危机，造成城市燃气和供热供应中断，大范围内影响人们正常生活，造成重大社会影响；二是事故后果较轻、但量大面广。事故概率高的小型锅炉、中小型压力容器，超过使用期限的各类气瓶，此类特种设备本质安全性较差，安全措施相对简单，使用者安全意识普遍不强，安全管理稍有偏差就可能引发事故，而事故有时会造成局部社会恐慌。</w:t>
      </w:r>
      <w:r w:rsidRPr="00CE1613">
        <w:rPr>
          <w:rFonts w:asciiTheme="minorEastAsia" w:hAnsiTheme="minorEastAsia" w:hint="eastAsia"/>
          <w:b/>
          <w:bCs/>
          <w:sz w:val="24"/>
          <w:szCs w:val="24"/>
        </w:rPr>
        <w:t>气瓶的管理需要进一步加强</w:t>
      </w:r>
      <w:r w:rsidRPr="00CE1613">
        <w:rPr>
          <w:rFonts w:asciiTheme="minorEastAsia" w:hAnsiTheme="minorEastAsia" w:hint="eastAsia"/>
          <w:sz w:val="24"/>
          <w:szCs w:val="24"/>
        </w:rPr>
        <w:t>。全市车用气瓶在逐年增多，车用气瓶内燃气属于易燃易爆介质，一旦发生事故将对公共安全带来严重后果；市场上（尤其是餐饮场所等公共聚集场所）还存在超期气瓶使</w:t>
      </w:r>
      <w:r w:rsidRPr="00CE1613">
        <w:rPr>
          <w:rFonts w:asciiTheme="minorEastAsia" w:hAnsiTheme="minorEastAsia" w:hint="eastAsia"/>
          <w:sz w:val="24"/>
          <w:szCs w:val="24"/>
        </w:rPr>
        <w:lastRenderedPageBreak/>
        <w:t>用现象，一旦发生爆炸必将危害人民群众的生命和财产安全。</w:t>
      </w:r>
    </w:p>
    <w:p w:rsidR="00CE1613" w:rsidRPr="00CE1613" w:rsidRDefault="00CE1613" w:rsidP="00A22C21">
      <w:pPr>
        <w:numPr>
          <w:ilvl w:val="0"/>
          <w:numId w:val="3"/>
        </w:numPr>
        <w:spacing w:line="360" w:lineRule="auto"/>
        <w:ind w:firstLineChars="201" w:firstLine="484"/>
        <w:rPr>
          <w:rFonts w:asciiTheme="minorEastAsia" w:hAnsiTheme="minorEastAsia" w:cs="宋体"/>
          <w:b/>
          <w:kern w:val="0"/>
          <w:sz w:val="24"/>
          <w:szCs w:val="24"/>
        </w:rPr>
      </w:pPr>
      <w:r w:rsidRPr="00CE1613">
        <w:rPr>
          <w:rFonts w:asciiTheme="minorEastAsia" w:hAnsiTheme="minorEastAsia" w:cs="楷体_GB2312" w:hint="eastAsia"/>
          <w:b/>
          <w:sz w:val="24"/>
          <w:szCs w:val="24"/>
        </w:rPr>
        <w:t>电梯安全值得关注。</w:t>
      </w:r>
    </w:p>
    <w:p w:rsidR="00CE1613" w:rsidRPr="00CE1613" w:rsidRDefault="00CE1613" w:rsidP="00A22C21">
      <w:pPr>
        <w:spacing w:line="360" w:lineRule="auto"/>
        <w:ind w:firstLineChars="200" w:firstLine="480"/>
        <w:rPr>
          <w:rFonts w:asciiTheme="minorEastAsia" w:hAnsiTheme="minorEastAsia" w:cs="宋体"/>
          <w:kern w:val="0"/>
          <w:sz w:val="24"/>
          <w:szCs w:val="24"/>
        </w:rPr>
      </w:pPr>
      <w:r w:rsidRPr="00CE1613">
        <w:rPr>
          <w:rFonts w:asciiTheme="minorEastAsia" w:hAnsiTheme="minorEastAsia" w:cs="宋体" w:hint="eastAsia"/>
          <w:kern w:val="0"/>
          <w:sz w:val="24"/>
          <w:szCs w:val="24"/>
        </w:rPr>
        <w:t>电梯新装增速快，2013年增加超过5000台，增幅达29.20%。全市电梯安全形势总体来说是稳定的,但是，电梯故障时有发生，涉及电梯故障方面的投诉大增。居民住宅老旧电梯（使用超过15年以上）数量逐年增多，截止到2013年底全市达146台，安全形势仍然不容乐观。电梯安全涉及多个环节或因素，包括建筑的设计配置、电梯的使用管理、电梯日常维护保养、电梯的制造和安装质量、业户文明乘梯以及电梯维修、改造和运行费交纳不及时等。</w:t>
      </w:r>
    </w:p>
    <w:p w:rsidR="00CE1613" w:rsidRPr="00CE1613" w:rsidRDefault="00CE1613" w:rsidP="00A22C21">
      <w:pPr>
        <w:spacing w:line="360" w:lineRule="auto"/>
        <w:ind w:firstLineChars="200" w:firstLine="480"/>
        <w:rPr>
          <w:rFonts w:asciiTheme="minorEastAsia" w:hAnsiTheme="minorEastAsia"/>
          <w:sz w:val="24"/>
          <w:szCs w:val="24"/>
        </w:rPr>
      </w:pPr>
      <w:r w:rsidRPr="00CE1613">
        <w:rPr>
          <w:rFonts w:asciiTheme="minorEastAsia" w:hAnsiTheme="minorEastAsia" w:hint="eastAsia"/>
          <w:sz w:val="24"/>
          <w:szCs w:val="24"/>
          <w:shd w:val="clear" w:color="auto" w:fill="FFFFFF"/>
        </w:rPr>
        <w:t>三、特种设备的</w:t>
      </w:r>
      <w:r w:rsidRPr="00CE1613">
        <w:rPr>
          <w:rFonts w:asciiTheme="minorEastAsia" w:hAnsiTheme="minorEastAsia" w:hint="eastAsia"/>
          <w:sz w:val="24"/>
          <w:szCs w:val="24"/>
        </w:rPr>
        <w:t>风险防范措施</w:t>
      </w:r>
    </w:p>
    <w:p w:rsidR="00CE1613" w:rsidRPr="00CE1613" w:rsidRDefault="00CE1613" w:rsidP="00A22C21">
      <w:pPr>
        <w:tabs>
          <w:tab w:val="left" w:pos="1515"/>
        </w:tabs>
        <w:adjustRightInd w:val="0"/>
        <w:snapToGrid w:val="0"/>
        <w:spacing w:line="360" w:lineRule="auto"/>
        <w:ind w:firstLineChars="200" w:firstLine="482"/>
        <w:rPr>
          <w:rFonts w:asciiTheme="minorEastAsia" w:hAnsiTheme="minorEastAsia" w:cs="楷体_GB2312"/>
          <w:b/>
          <w:sz w:val="24"/>
          <w:szCs w:val="24"/>
        </w:rPr>
      </w:pPr>
      <w:r w:rsidRPr="00CE1613">
        <w:rPr>
          <w:rFonts w:asciiTheme="minorEastAsia" w:hAnsiTheme="minorEastAsia" w:cs="楷体_GB2312" w:hint="eastAsia"/>
          <w:b/>
          <w:sz w:val="24"/>
          <w:szCs w:val="24"/>
        </w:rPr>
        <w:t>（一）</w:t>
      </w:r>
      <w:r w:rsidRPr="00CE1613">
        <w:rPr>
          <w:rFonts w:asciiTheme="minorEastAsia" w:hAnsiTheme="minorEastAsia" w:hint="eastAsia"/>
          <w:b/>
          <w:bCs/>
          <w:sz w:val="24"/>
          <w:szCs w:val="24"/>
        </w:rPr>
        <w:t>压实使用单位安全主体责任。</w:t>
      </w:r>
    </w:p>
    <w:p w:rsidR="00CE1613" w:rsidRPr="00CE1613" w:rsidRDefault="00CE1613" w:rsidP="00A22C21">
      <w:pPr>
        <w:tabs>
          <w:tab w:val="left" w:pos="1515"/>
        </w:tabs>
        <w:adjustRightInd w:val="0"/>
        <w:snapToGrid w:val="0"/>
        <w:spacing w:line="360" w:lineRule="auto"/>
        <w:ind w:firstLineChars="200" w:firstLine="480"/>
        <w:rPr>
          <w:rFonts w:asciiTheme="minorEastAsia" w:hAnsiTheme="minorEastAsia"/>
          <w:sz w:val="24"/>
          <w:szCs w:val="24"/>
        </w:rPr>
      </w:pPr>
      <w:r w:rsidRPr="00CE1613">
        <w:rPr>
          <w:rFonts w:asciiTheme="minorEastAsia" w:hAnsiTheme="minorEastAsia" w:hint="eastAsia"/>
          <w:sz w:val="24"/>
          <w:szCs w:val="24"/>
        </w:rPr>
        <w:t>进一步完善《特种设备使用单位现场安全状况自查承诺书》，增强企业安全意识，督促其主动开展安全自查自纠，消除安全隐患；加快整合违法违规行为的处罚信息；实施特种设备安全问题企业约谈制度；在电梯等领域逐步试点推行安全责任保险制度。</w:t>
      </w:r>
    </w:p>
    <w:p w:rsidR="00CE1613" w:rsidRPr="00CE1613" w:rsidRDefault="00CE1613" w:rsidP="00A22C21">
      <w:pPr>
        <w:pStyle w:val="a8"/>
        <w:numPr>
          <w:ilvl w:val="0"/>
          <w:numId w:val="4"/>
        </w:numPr>
        <w:spacing w:before="0" w:beforeAutospacing="0" w:after="0" w:afterAutospacing="0" w:line="360" w:lineRule="auto"/>
        <w:ind w:firstLineChars="200" w:firstLine="482"/>
        <w:rPr>
          <w:rFonts w:asciiTheme="minorEastAsia" w:eastAsiaTheme="minorEastAsia" w:hAnsiTheme="minorEastAsia" w:cs="楷体_GB2312"/>
          <w:b/>
        </w:rPr>
      </w:pPr>
      <w:r w:rsidRPr="00CE1613">
        <w:rPr>
          <w:rFonts w:asciiTheme="minorEastAsia" w:eastAsiaTheme="minorEastAsia" w:hAnsiTheme="minorEastAsia" w:hint="eastAsia"/>
          <w:b/>
          <w:bCs/>
        </w:rPr>
        <w:t>加强重点领域安全监督检查。</w:t>
      </w:r>
    </w:p>
    <w:p w:rsidR="00CE1613" w:rsidRPr="00CE1613" w:rsidRDefault="00CE1613" w:rsidP="00A22C21">
      <w:pPr>
        <w:pStyle w:val="a8"/>
        <w:spacing w:before="0" w:beforeAutospacing="0" w:after="0" w:afterAutospacing="0" w:line="360" w:lineRule="auto"/>
        <w:rPr>
          <w:rFonts w:asciiTheme="minorEastAsia" w:eastAsiaTheme="minorEastAsia" w:hAnsiTheme="minorEastAsia" w:cs="楷体_GB2312"/>
          <w:b/>
        </w:rPr>
      </w:pPr>
      <w:r w:rsidRPr="00CE1613">
        <w:rPr>
          <w:rFonts w:asciiTheme="minorEastAsia" w:eastAsiaTheme="minorEastAsia" w:hAnsiTheme="minorEastAsia" w:hint="eastAsia"/>
          <w:b/>
          <w:bCs/>
        </w:rPr>
        <w:t xml:space="preserve">    </w:t>
      </w:r>
      <w:r w:rsidRPr="00CE1613">
        <w:rPr>
          <w:rFonts w:asciiTheme="minorEastAsia" w:eastAsiaTheme="minorEastAsia" w:hAnsiTheme="minorEastAsia" w:hint="eastAsia"/>
        </w:rPr>
        <w:t>全面履行特种设备安全监察基础上，继续推进电梯、气瓶充装和涉氨</w:t>
      </w:r>
      <w:r w:rsidRPr="00CE1613">
        <w:rPr>
          <w:rFonts w:asciiTheme="minorEastAsia" w:eastAsiaTheme="minorEastAsia" w:hAnsiTheme="minorEastAsia" w:hint="eastAsia"/>
        </w:rPr>
        <w:lastRenderedPageBreak/>
        <w:t>涉氯企业特种设备专项整治，加大对电梯维保单位、涉氨涉氯压力容器、压力管道和热电锅炉使用单位、液化石油气瓶充装站和检验站等环节违法违规行为的查处力度。不断强化对机场、车站、码头、大型商场等公共聚集场所和居民住宅区电梯以及旅游景点的大型游乐设施、客运索道等重点特种设备的现场监督检查。</w:t>
      </w:r>
    </w:p>
    <w:p w:rsidR="00CE1613" w:rsidRPr="00CE1613" w:rsidRDefault="00CE1613" w:rsidP="00A22C21">
      <w:pPr>
        <w:pStyle w:val="a8"/>
        <w:numPr>
          <w:ilvl w:val="0"/>
          <w:numId w:val="4"/>
        </w:numPr>
        <w:spacing w:before="0" w:beforeAutospacing="0" w:after="0" w:afterAutospacing="0" w:line="360" w:lineRule="auto"/>
        <w:ind w:firstLineChars="200" w:firstLine="482"/>
        <w:rPr>
          <w:rFonts w:asciiTheme="minorEastAsia" w:eastAsiaTheme="minorEastAsia" w:hAnsiTheme="minorEastAsia" w:cs="楷体_GB2312"/>
          <w:b/>
        </w:rPr>
      </w:pPr>
      <w:r w:rsidRPr="00CE1613">
        <w:rPr>
          <w:rFonts w:asciiTheme="minorEastAsia" w:eastAsiaTheme="minorEastAsia" w:hAnsiTheme="minorEastAsia" w:cs="楷体_GB2312" w:hint="eastAsia"/>
          <w:b/>
        </w:rPr>
        <w:t>加强电梯安全监察力度。</w:t>
      </w:r>
    </w:p>
    <w:p w:rsidR="00CE1613" w:rsidRPr="00CE1613" w:rsidRDefault="00CE1613" w:rsidP="00A22C21">
      <w:pPr>
        <w:spacing w:line="360" w:lineRule="auto"/>
        <w:ind w:firstLineChars="200" w:firstLine="480"/>
        <w:rPr>
          <w:rFonts w:asciiTheme="minorEastAsia" w:hAnsiTheme="minorEastAsia"/>
          <w:sz w:val="24"/>
          <w:szCs w:val="24"/>
        </w:rPr>
      </w:pPr>
      <w:r w:rsidRPr="00CE1613">
        <w:rPr>
          <w:rFonts w:asciiTheme="minorEastAsia" w:hAnsiTheme="minorEastAsia" w:hint="eastAsia"/>
          <w:sz w:val="24"/>
          <w:szCs w:val="24"/>
        </w:rPr>
        <w:t>对电梯维保单位、使用单位开展专项整治，促进使用单位落实主体责任，对电梯维保单位开展考核打分分级并向社会公布；加强对电梯制造、安装、维保单位和检验机构的安全监察，促进电梯制造、安装、维保和检验质量的提升；积极开展电梯安全进学校、进社区活动，宣传安全乘梯知识；制定出台《青岛市电梯安全运行服务规范》，并加大宣传力度，明确电梯的使用管理、维护保养等各方职责；加大对存在违法违规行为单位的行政执法力度，坚决打击各种非法违规活动，并严格依法处理，不断提高电梯安全保障能力。</w:t>
      </w:r>
    </w:p>
    <w:p w:rsidR="00CE1613" w:rsidRPr="00CE1613" w:rsidRDefault="00CE1613" w:rsidP="00A22C21">
      <w:pPr>
        <w:numPr>
          <w:ilvl w:val="0"/>
          <w:numId w:val="5"/>
        </w:numPr>
        <w:spacing w:line="360" w:lineRule="auto"/>
        <w:ind w:firstLineChars="200" w:firstLine="482"/>
        <w:rPr>
          <w:rFonts w:asciiTheme="minorEastAsia" w:hAnsiTheme="minorEastAsia"/>
          <w:b/>
          <w:sz w:val="24"/>
          <w:szCs w:val="24"/>
        </w:rPr>
      </w:pPr>
      <w:r w:rsidRPr="00CE1613">
        <w:rPr>
          <w:rFonts w:asciiTheme="minorEastAsia" w:hAnsiTheme="minorEastAsia" w:hint="eastAsia"/>
          <w:b/>
          <w:sz w:val="24"/>
          <w:szCs w:val="24"/>
        </w:rPr>
        <w:t>调研制定气瓶管理规章。</w:t>
      </w:r>
    </w:p>
    <w:p w:rsidR="00CE1613" w:rsidRPr="00CE1613" w:rsidRDefault="00CE1613" w:rsidP="00A22C21">
      <w:pPr>
        <w:spacing w:line="360" w:lineRule="auto"/>
        <w:rPr>
          <w:rFonts w:asciiTheme="minorEastAsia" w:hAnsiTheme="minorEastAsia"/>
          <w:sz w:val="24"/>
          <w:szCs w:val="24"/>
        </w:rPr>
      </w:pPr>
      <w:r w:rsidRPr="00CE1613">
        <w:rPr>
          <w:rFonts w:asciiTheme="minorEastAsia" w:hAnsiTheme="minorEastAsia" w:hint="eastAsia"/>
          <w:kern w:val="0"/>
          <w:sz w:val="24"/>
          <w:szCs w:val="24"/>
        </w:rPr>
        <w:t xml:space="preserve">    开展液化气瓶充装站和检验站的源头治理，不断强化充装单位的安全主体责任和检验单位的技术把关责任，</w:t>
      </w:r>
      <w:r w:rsidRPr="00CE1613">
        <w:rPr>
          <w:rFonts w:asciiTheme="minorEastAsia" w:hAnsiTheme="minorEastAsia" w:hint="eastAsia"/>
          <w:kern w:val="0"/>
          <w:sz w:val="24"/>
          <w:szCs w:val="24"/>
        </w:rPr>
        <w:lastRenderedPageBreak/>
        <w:t>严厉打击无证和违法充装行为。</w:t>
      </w:r>
      <w:r w:rsidRPr="00CE1613">
        <w:rPr>
          <w:rFonts w:asciiTheme="minorEastAsia" w:hAnsiTheme="minorEastAsia" w:hint="eastAsia"/>
          <w:sz w:val="24"/>
          <w:szCs w:val="24"/>
        </w:rPr>
        <w:t>同时，调研制定气瓶安全监督管理的政府规章，明确相关部门职责，落实有关单位责任，把采用信息化技术管理以政府规章形式予以明确，制定淘汰超期气瓶的相关措施。</w:t>
      </w:r>
    </w:p>
    <w:p w:rsidR="00CE1613" w:rsidRPr="00CE1613" w:rsidRDefault="00CE1613" w:rsidP="00A22C21">
      <w:pPr>
        <w:pStyle w:val="a8"/>
        <w:spacing w:before="0" w:beforeAutospacing="0" w:after="0" w:afterAutospacing="0" w:line="360" w:lineRule="auto"/>
        <w:ind w:firstLine="640"/>
        <w:jc w:val="both"/>
        <w:rPr>
          <w:rFonts w:asciiTheme="minorEastAsia" w:eastAsiaTheme="minorEastAsia" w:hAnsiTheme="minorEastAsia"/>
          <w:shd w:val="clear" w:color="auto" w:fill="FFFFFF"/>
        </w:rPr>
      </w:pPr>
      <w:r w:rsidRPr="00CE1613">
        <w:rPr>
          <w:rFonts w:asciiTheme="minorEastAsia" w:eastAsiaTheme="minorEastAsia" w:hAnsiTheme="minorEastAsia" w:hint="eastAsia"/>
          <w:shd w:val="clear" w:color="auto" w:fill="FFFFFF"/>
        </w:rPr>
        <w:t>四、2013年特种设备安全监察工作实施情况</w:t>
      </w:r>
    </w:p>
    <w:p w:rsidR="00CE1613" w:rsidRPr="00CE1613" w:rsidRDefault="00CE1613" w:rsidP="00A22C21">
      <w:pPr>
        <w:spacing w:line="360" w:lineRule="auto"/>
        <w:ind w:firstLineChars="200" w:firstLine="480"/>
        <w:rPr>
          <w:rFonts w:asciiTheme="minorEastAsia" w:hAnsiTheme="minorEastAsia"/>
          <w:sz w:val="24"/>
          <w:szCs w:val="24"/>
        </w:rPr>
      </w:pPr>
      <w:r w:rsidRPr="00CE1613">
        <w:rPr>
          <w:rFonts w:asciiTheme="minorEastAsia" w:hAnsiTheme="minorEastAsia" w:hint="eastAsia"/>
          <w:sz w:val="24"/>
          <w:szCs w:val="24"/>
        </w:rPr>
        <w:t>2013年，在市委市政府和省质监局的领导下，质监部门</w:t>
      </w:r>
      <w:r w:rsidRPr="00CE1613">
        <w:rPr>
          <w:rFonts w:asciiTheme="minorEastAsia" w:hAnsiTheme="minorEastAsia" w:hint="eastAsia"/>
          <w:kern w:val="0"/>
          <w:sz w:val="24"/>
          <w:szCs w:val="24"/>
        </w:rPr>
        <w:t>扎实开展了“安全生产基层基础提升年”、“安全生产月”、“打非治违和隐患排查治理”、“质量月”、“涉氨制冷企业专项整治”、“工业压力管道专项整治”、“安全生产大检查”等活动，各项重点工作有序、有效推进，</w:t>
      </w:r>
      <w:r w:rsidRPr="00CE1613">
        <w:rPr>
          <w:rFonts w:asciiTheme="minorEastAsia" w:hAnsiTheme="minorEastAsia" w:hint="eastAsia"/>
          <w:sz w:val="24"/>
          <w:szCs w:val="24"/>
        </w:rPr>
        <w:t>实现了全年特种设备安全“零事故”，</w:t>
      </w:r>
      <w:r w:rsidRPr="00CE1613">
        <w:rPr>
          <w:rFonts w:asciiTheme="minorEastAsia" w:hAnsiTheme="minorEastAsia" w:hint="eastAsia"/>
          <w:kern w:val="0"/>
          <w:sz w:val="24"/>
          <w:szCs w:val="24"/>
        </w:rPr>
        <w:t xml:space="preserve"> 保持了全市特种设备安全形势的基本稳定。</w:t>
      </w:r>
    </w:p>
    <w:p w:rsidR="00CE1613" w:rsidRPr="00CE1613" w:rsidRDefault="00CE1613" w:rsidP="00A22C21">
      <w:pPr>
        <w:spacing w:line="360" w:lineRule="auto"/>
        <w:ind w:firstLineChars="196" w:firstLine="472"/>
        <w:rPr>
          <w:rFonts w:asciiTheme="minorEastAsia" w:hAnsiTheme="minorEastAsia" w:cs="楷体_GB2312"/>
          <w:b/>
          <w:kern w:val="0"/>
          <w:sz w:val="24"/>
          <w:szCs w:val="24"/>
        </w:rPr>
      </w:pPr>
      <w:r w:rsidRPr="00CE1613">
        <w:rPr>
          <w:rFonts w:asciiTheme="minorEastAsia" w:hAnsiTheme="minorEastAsia" w:cs="楷体_GB2312" w:hint="eastAsia"/>
          <w:b/>
          <w:kern w:val="0"/>
          <w:sz w:val="24"/>
          <w:szCs w:val="24"/>
        </w:rPr>
        <w:t>（一）开展电梯专项整治</w:t>
      </w:r>
    </w:p>
    <w:p w:rsidR="00CE1613" w:rsidRPr="00CE1613" w:rsidRDefault="00CE1613" w:rsidP="00A22C21">
      <w:pPr>
        <w:spacing w:line="360" w:lineRule="auto"/>
        <w:ind w:firstLineChars="200" w:firstLine="480"/>
        <w:rPr>
          <w:rFonts w:asciiTheme="minorEastAsia" w:hAnsiTheme="minorEastAsia"/>
          <w:color w:val="FF0000"/>
          <w:kern w:val="0"/>
          <w:sz w:val="24"/>
          <w:szCs w:val="24"/>
        </w:rPr>
      </w:pPr>
      <w:r w:rsidRPr="00CE1613">
        <w:rPr>
          <w:rFonts w:asciiTheme="minorEastAsia" w:hAnsiTheme="minorEastAsia" w:hint="eastAsia"/>
          <w:kern w:val="0"/>
          <w:sz w:val="24"/>
          <w:szCs w:val="24"/>
        </w:rPr>
        <w:t>一方面，督促电梯使用管理和维保单位切实履行各自安全职责，认真开展好自查自纠。另一方面，重点强化对人员密集场所自动扶梯以及住宅小区电梯使用管理和维保质量的监督检查。全年共检查电梯使用和维保单位256家，排查并责令整改隐患175处。</w:t>
      </w:r>
    </w:p>
    <w:p w:rsidR="00CE1613" w:rsidRPr="00CE1613" w:rsidRDefault="00CE1613" w:rsidP="00A22C21">
      <w:pPr>
        <w:spacing w:line="360" w:lineRule="auto"/>
        <w:ind w:firstLineChars="196" w:firstLine="472"/>
        <w:rPr>
          <w:rFonts w:asciiTheme="minorEastAsia" w:hAnsiTheme="minorEastAsia" w:cs="楷体_GB2312"/>
          <w:b/>
          <w:kern w:val="0"/>
          <w:sz w:val="24"/>
          <w:szCs w:val="24"/>
        </w:rPr>
      </w:pPr>
      <w:r w:rsidRPr="00CE1613">
        <w:rPr>
          <w:rFonts w:asciiTheme="minorEastAsia" w:hAnsiTheme="minorEastAsia" w:cs="楷体_GB2312" w:hint="eastAsia"/>
          <w:b/>
          <w:kern w:val="0"/>
          <w:sz w:val="24"/>
          <w:szCs w:val="24"/>
        </w:rPr>
        <w:t>（二）开展涉氨制冷企业专项检查</w:t>
      </w:r>
    </w:p>
    <w:p w:rsidR="00CE1613" w:rsidRPr="00CE1613" w:rsidRDefault="00CE1613" w:rsidP="00A22C21">
      <w:pPr>
        <w:spacing w:line="360" w:lineRule="auto"/>
        <w:ind w:firstLineChars="200" w:firstLine="480"/>
        <w:rPr>
          <w:rFonts w:asciiTheme="minorEastAsia" w:hAnsiTheme="minorEastAsia"/>
          <w:sz w:val="24"/>
          <w:szCs w:val="24"/>
        </w:rPr>
      </w:pPr>
      <w:r w:rsidRPr="00CE1613">
        <w:rPr>
          <w:rFonts w:asciiTheme="minorEastAsia" w:hAnsiTheme="minorEastAsia" w:hint="eastAsia"/>
          <w:kern w:val="0"/>
          <w:sz w:val="24"/>
          <w:szCs w:val="24"/>
        </w:rPr>
        <w:t>按照《质检总局特种设备局关于</w:t>
      </w:r>
      <w:r w:rsidRPr="00CE1613">
        <w:rPr>
          <w:rFonts w:asciiTheme="minorEastAsia" w:hAnsiTheme="minorEastAsia" w:hint="eastAsia"/>
          <w:kern w:val="0"/>
          <w:sz w:val="24"/>
          <w:szCs w:val="24"/>
        </w:rPr>
        <w:lastRenderedPageBreak/>
        <w:t>氨制冷装置特种设备专项治理工作的指导意见》，依据《青岛市人民政府关于加强氨制冷企业安全管理的通告》确定的部门职责，结合国家局、省局和市安委会一系列会议精神，在全市范围内全面深化氨制冷企业特种设备专项整治</w:t>
      </w:r>
      <w:r w:rsidRPr="00CE1613">
        <w:rPr>
          <w:rFonts w:asciiTheme="minorEastAsia" w:hAnsiTheme="minorEastAsia" w:hint="eastAsia"/>
          <w:sz w:val="24"/>
          <w:szCs w:val="24"/>
        </w:rPr>
        <w:t>，排查并责令整改严重隐患240余个，确保了全市涉氨制冷企业特种设备的安全运行。</w:t>
      </w:r>
    </w:p>
    <w:p w:rsidR="00CE1613" w:rsidRPr="00CE1613" w:rsidRDefault="00CE1613" w:rsidP="00A22C21">
      <w:pPr>
        <w:spacing w:line="360" w:lineRule="auto"/>
        <w:ind w:firstLineChars="196" w:firstLine="472"/>
        <w:rPr>
          <w:rFonts w:asciiTheme="minorEastAsia" w:hAnsiTheme="minorEastAsia" w:cs="楷体_GB2312"/>
          <w:b/>
          <w:kern w:val="0"/>
          <w:sz w:val="24"/>
          <w:szCs w:val="24"/>
        </w:rPr>
      </w:pPr>
      <w:r w:rsidRPr="00CE1613">
        <w:rPr>
          <w:rFonts w:asciiTheme="minorEastAsia" w:hAnsiTheme="minorEastAsia" w:cs="楷体_GB2312" w:hint="eastAsia"/>
          <w:b/>
          <w:kern w:val="0"/>
          <w:sz w:val="24"/>
          <w:szCs w:val="24"/>
        </w:rPr>
        <w:t>（三）集中开展安全大检查</w:t>
      </w:r>
    </w:p>
    <w:p w:rsidR="00CE1613" w:rsidRPr="00CE1613" w:rsidRDefault="00CE1613" w:rsidP="00A22C21">
      <w:pPr>
        <w:spacing w:line="360" w:lineRule="auto"/>
        <w:ind w:firstLineChars="200" w:firstLine="480"/>
        <w:rPr>
          <w:rFonts w:asciiTheme="minorEastAsia" w:hAnsiTheme="minorEastAsia"/>
          <w:sz w:val="24"/>
          <w:szCs w:val="24"/>
        </w:rPr>
      </w:pPr>
      <w:r w:rsidRPr="00CE1613">
        <w:rPr>
          <w:rFonts w:asciiTheme="minorEastAsia" w:hAnsiTheme="minorEastAsia" w:hint="eastAsia"/>
          <w:sz w:val="24"/>
          <w:szCs w:val="24"/>
        </w:rPr>
        <w:t>按照</w:t>
      </w:r>
      <w:r w:rsidRPr="00CE1613">
        <w:rPr>
          <w:rFonts w:asciiTheme="minorEastAsia" w:hAnsiTheme="minorEastAsia" w:hint="eastAsia"/>
          <w:kern w:val="0"/>
          <w:sz w:val="24"/>
          <w:szCs w:val="24"/>
        </w:rPr>
        <w:t>上级一系列工作部署，从6月中旬起在全系统</w:t>
      </w:r>
      <w:r w:rsidRPr="00CE1613">
        <w:rPr>
          <w:rFonts w:asciiTheme="minorEastAsia" w:hAnsiTheme="minorEastAsia" w:hint="eastAsia"/>
          <w:sz w:val="24"/>
          <w:szCs w:val="24"/>
        </w:rPr>
        <w:t>组织开展安全大检查活动。为推动大检查活动深入开展，下发了《关于开展安全生产大检查督查工作的通知》，由市局主要领导亲自挂帅，成立7个督导督查小组，对全市13个区、市（分）局和7个直属单位（部门）分别进行督导检查，以督查促进安全生产大检查的深化。</w:t>
      </w:r>
    </w:p>
    <w:p w:rsidR="00CE1613" w:rsidRPr="00CE1613" w:rsidRDefault="00CE1613" w:rsidP="00A22C21">
      <w:pPr>
        <w:spacing w:line="360" w:lineRule="auto"/>
        <w:ind w:leftChars="295" w:left="619"/>
        <w:rPr>
          <w:rFonts w:asciiTheme="minorEastAsia" w:hAnsiTheme="minorEastAsia"/>
          <w:b/>
          <w:kern w:val="0"/>
          <w:sz w:val="24"/>
          <w:szCs w:val="24"/>
        </w:rPr>
      </w:pPr>
      <w:r w:rsidRPr="00CE1613">
        <w:rPr>
          <w:rFonts w:asciiTheme="minorEastAsia" w:hAnsiTheme="minorEastAsia" w:hint="eastAsia"/>
          <w:b/>
          <w:kern w:val="0"/>
          <w:sz w:val="24"/>
          <w:szCs w:val="24"/>
        </w:rPr>
        <w:t>（四）深刻汲取事故教训，全面排查安全隐患。</w:t>
      </w:r>
    </w:p>
    <w:p w:rsidR="00CE1613" w:rsidRPr="00CE1613" w:rsidRDefault="00CE1613" w:rsidP="00A22C21">
      <w:pPr>
        <w:pStyle w:val="p0"/>
        <w:spacing w:line="360" w:lineRule="auto"/>
        <w:rPr>
          <w:rFonts w:asciiTheme="minorEastAsia" w:eastAsiaTheme="minorEastAsia" w:hAnsiTheme="minorEastAsia"/>
          <w:kern w:val="2"/>
          <w:sz w:val="24"/>
          <w:szCs w:val="24"/>
        </w:rPr>
      </w:pPr>
      <w:r w:rsidRPr="00CE1613">
        <w:rPr>
          <w:rFonts w:asciiTheme="minorEastAsia" w:eastAsiaTheme="minorEastAsia" w:hAnsiTheme="minorEastAsia" w:hint="eastAsia"/>
          <w:kern w:val="2"/>
          <w:sz w:val="24"/>
          <w:szCs w:val="24"/>
        </w:rPr>
        <w:t xml:space="preserve">    “11.22”中石化东黄输油管道泄漏爆炸特别重大事故发生后，市质监局迅速反应，制定印发了《关于迅速开展全市特种设备安全专项检查工作的通知》，立即在全市范围内扎实开展特种设备安全专项检查工作。强化现场督导检查，按照“四不两直”的工作要求：强化现场督导检查。主要领导亲自</w:t>
      </w:r>
      <w:r w:rsidRPr="00CE1613">
        <w:rPr>
          <w:rFonts w:asciiTheme="minorEastAsia" w:eastAsiaTheme="minorEastAsia" w:hAnsiTheme="minorEastAsia" w:hint="eastAsia"/>
          <w:kern w:val="2"/>
          <w:sz w:val="24"/>
          <w:szCs w:val="24"/>
        </w:rPr>
        <w:lastRenderedPageBreak/>
        <w:t>抓，分管领导靠上抓，其他领导分片抓；同时针对特种设备安全工作的特点和规律，严格落实安全生产责任制，进一步强化企业主体责任和政府监管责任，依法依规履职尽责。</w:t>
      </w:r>
    </w:p>
    <w:p w:rsidR="00CE1613" w:rsidRPr="00CE1613" w:rsidRDefault="00CE1613" w:rsidP="00A22C21">
      <w:pPr>
        <w:spacing w:line="360" w:lineRule="auto"/>
        <w:ind w:firstLineChars="196" w:firstLine="472"/>
        <w:rPr>
          <w:rFonts w:asciiTheme="minorEastAsia" w:hAnsiTheme="minorEastAsia"/>
          <w:b/>
          <w:kern w:val="0"/>
          <w:sz w:val="24"/>
          <w:szCs w:val="24"/>
        </w:rPr>
      </w:pPr>
      <w:r w:rsidRPr="00CE1613">
        <w:rPr>
          <w:rFonts w:asciiTheme="minorEastAsia" w:hAnsiTheme="minorEastAsia" w:hint="eastAsia"/>
          <w:b/>
          <w:kern w:val="0"/>
          <w:sz w:val="24"/>
          <w:szCs w:val="24"/>
        </w:rPr>
        <w:t>（五）解决民生热点问题</w:t>
      </w:r>
    </w:p>
    <w:p w:rsidR="00CE1613" w:rsidRPr="00CE1613" w:rsidRDefault="00CE1613" w:rsidP="00A22C21">
      <w:pPr>
        <w:spacing w:line="360" w:lineRule="auto"/>
        <w:ind w:firstLineChars="200" w:firstLine="480"/>
        <w:rPr>
          <w:rFonts w:asciiTheme="minorEastAsia" w:hAnsiTheme="minorEastAsia"/>
          <w:kern w:val="0"/>
          <w:sz w:val="24"/>
          <w:szCs w:val="24"/>
        </w:rPr>
      </w:pPr>
      <w:r w:rsidRPr="00CE1613">
        <w:rPr>
          <w:rFonts w:asciiTheme="minorEastAsia" w:hAnsiTheme="minorEastAsia" w:hint="eastAsia"/>
          <w:kern w:val="0"/>
          <w:sz w:val="24"/>
          <w:szCs w:val="24"/>
        </w:rPr>
        <w:t>按照“迅速受理、依法处置、按时反馈”的工作原则，妥善处置相关投诉举报。2013年，全系统共通过市政府</w:t>
      </w:r>
      <w:r w:rsidRPr="00CE1613">
        <w:rPr>
          <w:rFonts w:asciiTheme="minorEastAsia" w:hAnsiTheme="minorEastAsia" w:hint="eastAsia"/>
          <w:kern w:val="0"/>
          <w:sz w:val="24"/>
          <w:szCs w:val="24"/>
        </w:rPr>
        <w:lastRenderedPageBreak/>
        <w:t>“12345”政务热线、人民网市长信箱、质监局“12365”质监服务热线等途径收到相关举报投诉410余件，均在规定期限内进行了答复和处理。市局主要领导、分管领导和特监处还参加了青岛纠风网“行风在线”、 青岛新闻网“民生在线”网谈栏目和“网络在线问政”等活动，解答广大群众提出的热点问题90余个，切实为群众排忧解难。</w:t>
      </w:r>
    </w:p>
    <w:p w:rsidR="00CE1613" w:rsidRDefault="00CE1613" w:rsidP="00A22C21">
      <w:pPr>
        <w:spacing w:line="360" w:lineRule="auto"/>
        <w:jc w:val="left"/>
        <w:rPr>
          <w:rFonts w:ascii="方正小标宋简体" w:eastAsia="方正小标宋简体" w:hAnsi="宋体"/>
          <w:sz w:val="36"/>
          <w:szCs w:val="36"/>
        </w:rPr>
        <w:sectPr w:rsidR="00CE1613" w:rsidSect="00CE1613">
          <w:type w:val="continuous"/>
          <w:pgSz w:w="11906" w:h="16838"/>
          <w:pgMar w:top="1440" w:right="1800" w:bottom="1440" w:left="1800" w:header="851" w:footer="992" w:gutter="0"/>
          <w:cols w:num="2" w:space="425"/>
          <w:docGrid w:type="lines" w:linePitch="312"/>
        </w:sectPr>
      </w:pPr>
    </w:p>
    <w:p w:rsidR="00482CE2" w:rsidRDefault="005C258D" w:rsidP="00482CE2">
      <w:pPr>
        <w:spacing w:line="560" w:lineRule="exact"/>
        <w:jc w:val="left"/>
        <w:rPr>
          <w:rFonts w:ascii="方正小标宋简体" w:eastAsia="方正小标宋简体" w:hAnsi="宋体"/>
          <w:sz w:val="36"/>
          <w:szCs w:val="36"/>
        </w:rPr>
      </w:pPr>
      <w:r>
        <w:rPr>
          <w:noProof/>
        </w:rPr>
        <w:lastRenderedPageBreak/>
        <mc:AlternateContent>
          <mc:Choice Requires="wps">
            <w:drawing>
              <wp:anchor distT="0" distB="0" distL="114300" distR="114300" simplePos="0" relativeHeight="251664384" behindDoc="0" locked="0" layoutInCell="1" allowOverlap="1" wp14:anchorId="7801A817" wp14:editId="729A832C">
                <wp:simplePos x="0" y="0"/>
                <wp:positionH relativeFrom="column">
                  <wp:posOffset>797560</wp:posOffset>
                </wp:positionH>
                <wp:positionV relativeFrom="paragraph">
                  <wp:posOffset>5911215</wp:posOffset>
                </wp:positionV>
                <wp:extent cx="3790950" cy="274320"/>
                <wp:effectExtent l="0" t="0" r="0" b="0"/>
                <wp:wrapTopAndBottom/>
                <wp:docPr id="17" name="文本框 17"/>
                <wp:cNvGraphicFramePr/>
                <a:graphic xmlns:a="http://schemas.openxmlformats.org/drawingml/2006/main">
                  <a:graphicData uri="http://schemas.microsoft.com/office/word/2010/wordprocessingShape">
                    <wps:wsp>
                      <wps:cNvSpPr txBox="1"/>
                      <wps:spPr>
                        <a:xfrm>
                          <a:off x="0" y="0"/>
                          <a:ext cx="3790950" cy="274320"/>
                        </a:xfrm>
                        <a:prstGeom prst="rect">
                          <a:avLst/>
                        </a:prstGeom>
                        <a:solidFill>
                          <a:prstClr val="white"/>
                        </a:solidFill>
                        <a:ln>
                          <a:noFill/>
                        </a:ln>
                        <a:effectLst/>
                      </wps:spPr>
                      <wps:txbx>
                        <w:txbxContent>
                          <w:p w:rsidR="005C258D" w:rsidRPr="008612C2" w:rsidRDefault="005C258D" w:rsidP="0038236C">
                            <w:pPr>
                              <w:pStyle w:val="a9"/>
                              <w:jc w:val="center"/>
                              <w:rPr>
                                <w:rFonts w:asciiTheme="minorEastAsia" w:eastAsiaTheme="minorEastAsia" w:hAnsiTheme="minorEastAsia"/>
                                <w:noProof/>
                                <w:sz w:val="24"/>
                                <w:szCs w:val="24"/>
                              </w:rPr>
                            </w:pPr>
                            <w:r w:rsidRPr="008612C2">
                              <w:rPr>
                                <w:rFonts w:asciiTheme="minorEastAsia" w:eastAsiaTheme="minorEastAsia" w:hAnsiTheme="minorEastAsia" w:hint="eastAsia"/>
                                <w:sz w:val="24"/>
                                <w:szCs w:val="24"/>
                              </w:rPr>
                              <w:t xml:space="preserve">图二 </w:t>
                            </w:r>
                            <w:r w:rsidR="0038236C" w:rsidRPr="008612C2">
                              <w:rPr>
                                <w:rFonts w:asciiTheme="minorEastAsia" w:eastAsiaTheme="minorEastAsia" w:hAnsiTheme="minorEastAsia"/>
                                <w:sz w:val="24"/>
                                <w:szCs w:val="24"/>
                              </w:rPr>
                              <w:t>2012</w:t>
                            </w:r>
                            <w:r w:rsidR="0038236C" w:rsidRPr="008612C2">
                              <w:rPr>
                                <w:rFonts w:asciiTheme="minorEastAsia" w:eastAsiaTheme="minorEastAsia" w:hAnsiTheme="minorEastAsia" w:hint="eastAsia"/>
                                <w:sz w:val="24"/>
                                <w:szCs w:val="24"/>
                              </w:rPr>
                              <w:t>、2013特种设备数量</w:t>
                            </w:r>
                            <w:r w:rsidR="0038236C" w:rsidRPr="008612C2">
                              <w:rPr>
                                <w:rFonts w:asciiTheme="minorEastAsia" w:eastAsiaTheme="minorEastAsia" w:hAnsiTheme="minorEastAsia"/>
                                <w:sz w:val="24"/>
                                <w:szCs w:val="24"/>
                              </w:rPr>
                              <w:t>变化图</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01A817" id="_x0000_t202" coordsize="21600,21600" o:spt="202" path="m,l,21600r21600,l21600,xe">
                <v:stroke joinstyle="miter"/>
                <v:path gradientshapeok="t" o:connecttype="rect"/>
              </v:shapetype>
              <v:shape id="文本框 17" o:spid="_x0000_s1026" type="#_x0000_t202" style="position:absolute;margin-left:62.8pt;margin-top:465.45pt;width:298.5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" stroked="f">
                <v:textbox inset="0,0,0,0">
                  <w:txbxContent>
                    <w:p w:rsidR="005C258D" w:rsidRPr="008612C2" w:rsidRDefault="005C258D" w:rsidP="0038236C">
                      <w:pPr>
                        <w:pStyle w:val="a9"/>
                        <w:jc w:val="center"/>
                        <w:rPr>
                          <w:rFonts w:asciiTheme="minorEastAsia" w:eastAsiaTheme="minorEastAsia" w:hAnsiTheme="minorEastAsia"/>
                          <w:noProof/>
                          <w:sz w:val="24"/>
                          <w:szCs w:val="24"/>
                        </w:rPr>
                      </w:pPr>
                      <w:r w:rsidRPr="008612C2">
                        <w:rPr>
                          <w:rFonts w:asciiTheme="minorEastAsia" w:eastAsiaTheme="minorEastAsia" w:hAnsiTheme="minorEastAsia" w:hint="eastAsia"/>
                          <w:sz w:val="24"/>
                          <w:szCs w:val="24"/>
                        </w:rPr>
                        <w:t xml:space="preserve">图二 </w:t>
                      </w:r>
                      <w:r w:rsidR="0038236C" w:rsidRPr="008612C2">
                        <w:rPr>
                          <w:rFonts w:asciiTheme="minorEastAsia" w:eastAsiaTheme="minorEastAsia" w:hAnsiTheme="minorEastAsia"/>
                          <w:sz w:val="24"/>
                          <w:szCs w:val="24"/>
                        </w:rPr>
                        <w:t>2012</w:t>
                      </w:r>
                      <w:r w:rsidR="0038236C" w:rsidRPr="008612C2">
                        <w:rPr>
                          <w:rFonts w:asciiTheme="minorEastAsia" w:eastAsiaTheme="minorEastAsia" w:hAnsiTheme="minorEastAsia" w:hint="eastAsia"/>
                          <w:sz w:val="24"/>
                          <w:szCs w:val="24"/>
                        </w:rPr>
                        <w:t>、2013特种设备数量</w:t>
                      </w:r>
                      <w:r w:rsidR="0038236C" w:rsidRPr="008612C2">
                        <w:rPr>
                          <w:rFonts w:asciiTheme="minorEastAsia" w:eastAsiaTheme="minorEastAsia" w:hAnsiTheme="minorEastAsia"/>
                          <w:sz w:val="24"/>
                          <w:szCs w:val="24"/>
                        </w:rPr>
                        <w:t>变化图</w:t>
                      </w:r>
                    </w:p>
                  </w:txbxContent>
                </v:textbox>
                <w10:wrap type="topAndBottom"/>
              </v:shape>
            </w:pict>
          </mc:Fallback>
        </mc:AlternateContent>
      </w:r>
      <w:r>
        <w:rPr>
          <w:rFonts w:ascii="方正小标宋简体" w:eastAsia="方正小标宋简体" w:hAnsi="宋体" w:hint="eastAsia"/>
          <w:noProof/>
          <w:sz w:val="36"/>
          <w:szCs w:val="36"/>
        </w:rPr>
        <w:drawing>
          <wp:anchor distT="0" distB="0" distL="114300" distR="114300" simplePos="0" relativeHeight="251662336" behindDoc="0" locked="0" layoutInCell="1" allowOverlap="1" wp14:anchorId="2AAB0BD2" wp14:editId="7EF14D87">
            <wp:simplePos x="0" y="0"/>
            <wp:positionH relativeFrom="column">
              <wp:posOffset>-897890</wp:posOffset>
            </wp:positionH>
            <wp:positionV relativeFrom="paragraph">
              <wp:posOffset>3263900</wp:posOffset>
            </wp:positionV>
            <wp:extent cx="7315200" cy="2816860"/>
            <wp:effectExtent l="0" t="0" r="0" b="0"/>
            <wp:wrapTopAndBottom/>
            <wp:docPr id="12" name="图表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Pr>
          <w:rFonts w:ascii="方正小标宋简体" w:eastAsia="方正小标宋简体" w:hAnsi="宋体" w:hint="eastAsia"/>
          <w:noProof/>
          <w:sz w:val="36"/>
          <w:szCs w:val="36"/>
        </w:rPr>
        <w:drawing>
          <wp:anchor distT="0" distB="0" distL="114300" distR="114300" simplePos="0" relativeHeight="251660288" behindDoc="0" locked="0" layoutInCell="1" allowOverlap="1" wp14:anchorId="31071E74" wp14:editId="792824C0">
            <wp:simplePos x="0" y="0"/>
            <wp:positionH relativeFrom="column">
              <wp:posOffset>28575</wp:posOffset>
            </wp:positionH>
            <wp:positionV relativeFrom="margin">
              <wp:posOffset>3200400</wp:posOffset>
            </wp:positionV>
            <wp:extent cx="5336540" cy="2750185"/>
            <wp:effectExtent l="0" t="0" r="0" b="0"/>
            <wp:wrapTopAndBottom/>
            <wp:docPr id="11" name="图表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8D2117" w:rsidRPr="00323E3B" w:rsidRDefault="008D2117" w:rsidP="008D2117">
      <w:pPr>
        <w:spacing w:line="560" w:lineRule="exact"/>
        <w:jc w:val="center"/>
        <w:rPr>
          <w:rFonts w:ascii="方正小标宋简体" w:eastAsia="方正小标宋简体" w:hAnsi="宋体"/>
          <w:sz w:val="36"/>
          <w:szCs w:val="36"/>
        </w:rPr>
      </w:pPr>
      <w:r w:rsidRPr="00323E3B">
        <w:rPr>
          <w:rFonts w:ascii="方正小标宋简体" w:eastAsia="方正小标宋简体" w:hAnsi="宋体" w:hint="eastAsia"/>
          <w:sz w:val="36"/>
          <w:szCs w:val="36"/>
        </w:rPr>
        <w:lastRenderedPageBreak/>
        <w:t>关于特种设备安全监察情况的调研报告</w:t>
      </w:r>
    </w:p>
    <w:p w:rsidR="008D2117" w:rsidRPr="00323E3B" w:rsidRDefault="008D2117" w:rsidP="008D2117">
      <w:pPr>
        <w:spacing w:line="560" w:lineRule="exact"/>
        <w:ind w:firstLineChars="200" w:firstLine="480"/>
        <w:rPr>
          <w:rFonts w:asciiTheme="minorEastAsia" w:hAnsiTheme="minorEastAsia"/>
          <w:sz w:val="24"/>
          <w:szCs w:val="24"/>
        </w:rPr>
      </w:pPr>
    </w:p>
    <w:p w:rsidR="00323E3B" w:rsidRDefault="00323E3B" w:rsidP="00323E3B">
      <w:pPr>
        <w:spacing w:line="360" w:lineRule="auto"/>
        <w:ind w:firstLineChars="200" w:firstLine="480"/>
        <w:rPr>
          <w:rFonts w:asciiTheme="minorEastAsia" w:hAnsiTheme="minorEastAsia"/>
          <w:sz w:val="24"/>
          <w:szCs w:val="24"/>
        </w:rPr>
        <w:sectPr w:rsidR="00323E3B" w:rsidSect="006B1268">
          <w:type w:val="continuous"/>
          <w:pgSz w:w="11906" w:h="16838"/>
          <w:pgMar w:top="1440" w:right="1800" w:bottom="1440" w:left="1800" w:header="851" w:footer="992" w:gutter="0"/>
          <w:cols w:space="425"/>
          <w:docGrid w:type="lines" w:linePitch="312"/>
        </w:sectPr>
      </w:pP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lastRenderedPageBreak/>
        <w:t>2014年1月1日，《中华人民共和国特种设备安全法》正式施行，根据该法规定，特种设备是指对人身和财产安全有较大危险性的锅炉、压力容器（含气瓶）、压力管道、电梯、起重机械、客运索道、大型游乐设施和场（厂）内专用机动车辆等八大类。特种设备安全监察工作，是我市安全生产专项整治内容之一，近年来随着我市社会经济的快速发展，特种设备的使用量大不断增大，涉及面也不断拓展，但是特种设备本身具有潜在的危险性，容易发生事故，甚至造成群死群伤和重大经济损失，直接关系企业生产、百姓安危、社会稳定。为此，市政府研究室、市质监局对我市特种设备的安全监察进行了全面调研，对我市特种设备的使用情况进行了分析统计，对特种设备的监察工作提出了相应的意见建议。</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一、全市特种设备基本情况</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截止2013年底，全市已累计办理使用登记特种设备79915台（其中，锅炉5128台、压力容器28703台、电梯23461台、起重机械17162台、客运索道8台、大型游乐设施157台、场（厂）内专用机动车辆5296台）。另外，办理使用登记气瓶43.6万余只，工业压力</w:t>
      </w:r>
      <w:r w:rsidRPr="00323E3B">
        <w:rPr>
          <w:rFonts w:asciiTheme="minorEastAsia" w:hAnsiTheme="minorEastAsia" w:hint="eastAsia"/>
          <w:sz w:val="24"/>
          <w:szCs w:val="24"/>
        </w:rPr>
        <w:lastRenderedPageBreak/>
        <w:t>管道1.1万余条。全市特种设备生产单位412家，特种设备使用单位13846家，特种设备检验检测机构17个。</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截止2013年底，全市质监系统共有特种设备安全监察机构14个，其中市局1个，区、市（分）局13个。持证特种设备专（兼）职安全监察人员共54人，其中，市局4人，区、市（分）局50人。局属市锅炉压力容器检验所（以下简称市锅检所）持证检验人员88人，区、市特检机构持证检验人员86人。特种设备安全行政执法工作目前由市质监稽查局及区、市（分）质监局稽查队承担。</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二、全市当前特种设备安全形势</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近年来，全市特种设备安全形势保持了持续稳定。但随着城市建设步伐的不断加快，我市的特种设备安全形势不容乐观。主要表现在：</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从政府看</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一是体制机制还有待进一步完善。质监系统垂直管理体制调整后，各区、市特检机构一并下划到当地政府，由于各区、市特检机构划归地方后短时间内无法取得检验资质，严重削弱全市特检力量和业务能力。市锅检所当前的检验力量难以有效保证全市特种</w:t>
      </w:r>
      <w:r w:rsidRPr="00323E3B">
        <w:rPr>
          <w:rFonts w:asciiTheme="minorEastAsia" w:hAnsiTheme="minorEastAsia" w:hint="eastAsia"/>
          <w:sz w:val="24"/>
          <w:szCs w:val="24"/>
        </w:rPr>
        <w:lastRenderedPageBreak/>
        <w:t>设备检验的全覆盖，将形成检验区域空白，增大特种设备安全风险。二是监管机构人员难以适应特种设备发展速度。目前我市特种设备数量已经接近8万台（不含气瓶、压力管道，下同），分布广而散，并朝着大型化、高参数、高风险方向发展，正以年均12%左右的速度增加，但从事特种设备安全监察的人数仍然维持在2000年的水平。从人机配比看，人均监管数量近1500台，大大高于国家质检总局建议的人均500台的监管数量。三是工作人员素质有待提升。特种设备安全监察工作专业性、技术性、法规性较强，需要不断充实安全监察和检验人员队伍，并通过强化人员的培训提高人员的素质。特种设备安全作为安全生产工作的重要组成部分，作为特种设备安全监察主管部门，在安全监察和检验检测力量不足的情况下，被责任追究的风险进一步加大，造成安全监察人员和检验检测人员工作和精神压力加大，工作主动性、积极性受到影响。</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从企业看</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一是企业主体责任意识不强。特种设备使用企业主体责任意识不强，存在着特种设备设备超期未检仍使用；操作人员不取得特种设备操作证件上岗、不进行岗位操作技能和应急处置</w:t>
      </w:r>
      <w:r w:rsidRPr="00323E3B">
        <w:rPr>
          <w:rFonts w:asciiTheme="minorEastAsia" w:hAnsiTheme="minorEastAsia" w:hint="eastAsia"/>
          <w:sz w:val="24"/>
          <w:szCs w:val="24"/>
        </w:rPr>
        <w:lastRenderedPageBreak/>
        <w:t>的培训；特种设备及其安全装置、警示装置不进行日常检查和维护保养等问题。企业主动排查隐患、主动消除隐患的意识不强，设备主动登记、申报检验、持证上岗的比例仍然很低，隐患整改工作比较被动，使得设备超期未检、安全附件失灵失效、严重隐患得不到及时治理等设备带病运行情况大量存在，二是企业违规操作情况严重。在新建、改建、扩建企业特种设备安装中，由于使用企业赶工期进度，存在着不办理特种设备安装告知，先进行施工的问题；企业在特种设备投入使用一个月后，不办理特种设备使用注册的问题。不办理特种设备安装告知和使用登记证，使得特种设备在安装中，使用中得不到安全保障。</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从社会看</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一是群众对特种设备使用安全认识不够。缺乏使用知识，逃生知识，避险知识。在公共场所如商城、宾馆、医院、学校等地方乘坐电梯时缺乏使用常识和紧急情况下逃生等能力。二是应急处置能力有待加强。特别是公共聚集场所缺乏特种设备应急救援演练，不能及时救治人员、消除故障隐患。如物业公司在电梯困人时不能及时快速将被困人员解救出电梯，影响了乘客安全。</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lastRenderedPageBreak/>
        <w:t>三、特种设备安全工作建议</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针对调研情况，围绕落实企业安全主体责任这一主线，强化监管和行政执法，深化特种设备管理基础建设，进一步提升特种设备安全监管水平和企业的安全生产意识，确保我市特种设备持续安全运行。</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一是推进落实企业主体责任。组织召开落实企业主体责任会议，逐步建立符合我市实际的推进落实企业安全主体责任的监管新机制；督促特种设备使用单位建立安全机构，进一步完善特种设备安全管理的各项制度，建立健全特种设备安全技术档案，建立特种设备事故应急救援预案并定期演练；全面实施特种设备作业人员理论考试机考化和实际操作考试仿真化，提高作业人员应知、应会的安全操作技能。</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二是深化特种设备隐患排查治理。督促、指导使用单位继续深入开展隐患排查治理工作，逐步建立主动排查隐患、主动消除隐患的日常工作制度。对监督检查、检验上报、群众举报等途径发现的事故隐患实施闭环管理。组织特检机构和其他力量对“游离”监管之外的特种设备进行安全状况专项调查。继续严厉打击非法制造、非法安装、非法使用起重机械等特种设备的违法</w:t>
      </w:r>
      <w:r w:rsidRPr="00323E3B">
        <w:rPr>
          <w:rFonts w:asciiTheme="minorEastAsia" w:hAnsiTheme="minorEastAsia" w:hint="eastAsia"/>
          <w:sz w:val="24"/>
          <w:szCs w:val="24"/>
        </w:rPr>
        <w:lastRenderedPageBreak/>
        <w:t>行为。组织开展全市性起重机械、气瓶充装和气瓶检验单位执法检查活动，坚决取缔充装非自有产权气瓶、超期气瓶和气瓶检验偷工减料等违法行为。分类分批分地区稳步推进压力管道元件的专项整治工作，督促、帮助有条件的企业申领制造许可证，坚决取缔无证制造、非法“贴牌”等违法生产行为。</w:t>
      </w:r>
    </w:p>
    <w:p w:rsidR="008D2117" w:rsidRPr="00323E3B" w:rsidRDefault="008D2117" w:rsidP="00323E3B">
      <w:pPr>
        <w:spacing w:line="360" w:lineRule="auto"/>
        <w:ind w:firstLineChars="200" w:firstLine="480"/>
        <w:rPr>
          <w:rFonts w:asciiTheme="minorEastAsia" w:hAnsiTheme="minorEastAsia"/>
          <w:sz w:val="24"/>
          <w:szCs w:val="24"/>
        </w:rPr>
      </w:pPr>
      <w:r w:rsidRPr="00323E3B">
        <w:rPr>
          <w:rFonts w:asciiTheme="minorEastAsia" w:hAnsiTheme="minorEastAsia" w:hint="eastAsia"/>
          <w:sz w:val="24"/>
          <w:szCs w:val="24"/>
        </w:rPr>
        <w:t>三是夯实安全监管基础。一是为确保质监系统垂直管理体制调整过渡期间全市特种设备检验业务正常开展，有效规避监管风险，盘活现有检验资源，建议市编制部门协调市财政及各区、市政府，在各区、市设立特检工作站，作为市锅检所内设机构，将区、市特检机构具有相应检验资质的人员纳入工作站，接受市锅检所业务管理，充实检验队伍，解决检验人员短缺问题。二是举办安全监察员的培训考核班和以特种设备事故调查处理为重点的持证安全监察员提高班，继续推行新上岗安全监察人员到有关检验机构和企业实习锻炼的制度，提高基层安全监察队伍的力量和现场安全监察技能。三是建议市财政逐步增加拨付安全监察专用设备及平台建设资金特种设备监察费用、特种设备检验检测亟需设备</w:t>
      </w:r>
      <w:r w:rsidRPr="00323E3B">
        <w:rPr>
          <w:rFonts w:asciiTheme="minorEastAsia" w:hAnsiTheme="minorEastAsia"/>
          <w:sz w:val="24"/>
          <w:szCs w:val="24"/>
        </w:rPr>
        <w:t>预算</w:t>
      </w:r>
      <w:r w:rsidRPr="00323E3B">
        <w:rPr>
          <w:rFonts w:asciiTheme="minorEastAsia" w:hAnsiTheme="minorEastAsia" w:hint="eastAsia"/>
          <w:sz w:val="24"/>
          <w:szCs w:val="24"/>
        </w:rPr>
        <w:t>资金，以便于更好的逐步开展特种设备监察工作。</w:t>
      </w:r>
    </w:p>
    <w:p w:rsidR="008D2117" w:rsidRPr="00284427" w:rsidRDefault="008D2117" w:rsidP="00323E3B">
      <w:pPr>
        <w:spacing w:line="360" w:lineRule="auto"/>
        <w:ind w:firstLineChars="200" w:firstLine="480"/>
        <w:rPr>
          <w:rFonts w:ascii="仿宋_GB2312" w:eastAsia="仿宋_GB2312"/>
          <w:sz w:val="32"/>
          <w:szCs w:val="32"/>
        </w:rPr>
      </w:pPr>
      <w:r w:rsidRPr="00323E3B">
        <w:rPr>
          <w:rFonts w:asciiTheme="minorEastAsia" w:hAnsiTheme="minorEastAsia" w:hint="eastAsia"/>
          <w:sz w:val="24"/>
          <w:szCs w:val="24"/>
        </w:rPr>
        <w:lastRenderedPageBreak/>
        <w:t>四是抓好特种设备安全知识宣传。紧密结合安全生产月、质量月和节假日宣传等活动载体，与各类新闻媒体大力协作，开展形式多样、通俗易懂、生动活泼的宣传工作，大力宣传《安全</w:t>
      </w:r>
      <w:r w:rsidRPr="00323E3B">
        <w:rPr>
          <w:rFonts w:asciiTheme="minorEastAsia" w:hAnsiTheme="minorEastAsia" w:hint="eastAsia"/>
          <w:sz w:val="24"/>
          <w:szCs w:val="24"/>
        </w:rPr>
        <w:lastRenderedPageBreak/>
        <w:t>生产法》、《特种设备安全监察条例》等法律法规，切实提高社会公众的特种设备安全知识、事故防范常识和事故应急处置能力。</w:t>
      </w:r>
    </w:p>
    <w:p w:rsidR="00323E3B" w:rsidRDefault="00323E3B" w:rsidP="008D2117">
      <w:pPr>
        <w:spacing w:line="560" w:lineRule="exact"/>
        <w:ind w:firstLineChars="200" w:firstLine="640"/>
        <w:rPr>
          <w:rFonts w:ascii="仿宋_GB2312" w:eastAsia="仿宋_GB2312"/>
          <w:sz w:val="32"/>
          <w:szCs w:val="32"/>
        </w:rPr>
        <w:sectPr w:rsidR="00323E3B" w:rsidSect="00323E3B">
          <w:type w:val="continuous"/>
          <w:pgSz w:w="11906" w:h="16838"/>
          <w:pgMar w:top="1440" w:right="1800" w:bottom="1440" w:left="1800" w:header="851" w:footer="992" w:gutter="0"/>
          <w:cols w:num="2" w:space="425"/>
          <w:docGrid w:type="lines" w:linePitch="312"/>
        </w:sectPr>
      </w:pPr>
    </w:p>
    <w:p w:rsidR="00A22C21" w:rsidRDefault="00A22C21" w:rsidP="008D2117">
      <w:pPr>
        <w:spacing w:line="600" w:lineRule="exact"/>
        <w:jc w:val="left"/>
        <w:rPr>
          <w:rFonts w:ascii="黑体" w:eastAsia="黑体" w:hAnsi="黑体"/>
          <w:sz w:val="28"/>
          <w:szCs w:val="28"/>
          <w:shd w:val="pct15" w:color="auto" w:fill="FFFFFF"/>
        </w:rPr>
      </w:pPr>
    </w:p>
    <w:p w:rsidR="00323E3B" w:rsidRDefault="00323E3B" w:rsidP="008D2117">
      <w:pPr>
        <w:spacing w:line="600" w:lineRule="exact"/>
        <w:jc w:val="left"/>
        <w:rPr>
          <w:rFonts w:ascii="方正小标宋简体" w:eastAsia="方正小标宋简体" w:hAnsi="宋体"/>
          <w:sz w:val="36"/>
          <w:szCs w:val="36"/>
        </w:rPr>
      </w:pPr>
      <w:r>
        <w:rPr>
          <w:rFonts w:ascii="黑体" w:eastAsia="黑体" w:hAnsi="黑体" w:hint="eastAsia"/>
          <w:sz w:val="28"/>
          <w:szCs w:val="28"/>
          <w:shd w:val="pct15" w:color="auto" w:fill="FFFFFF"/>
        </w:rPr>
        <w:t>专题报道</w:t>
      </w:r>
    </w:p>
    <w:p w:rsidR="00323E3B" w:rsidRPr="008D2117" w:rsidRDefault="00323E3B" w:rsidP="008D2117">
      <w:pPr>
        <w:spacing w:line="600" w:lineRule="exact"/>
        <w:jc w:val="left"/>
        <w:rPr>
          <w:rFonts w:ascii="方正小标宋简体" w:eastAsia="方正小标宋简体" w:hAnsi="宋体"/>
          <w:sz w:val="36"/>
          <w:szCs w:val="36"/>
        </w:rPr>
      </w:pPr>
    </w:p>
    <w:p w:rsidR="00BE046A" w:rsidRDefault="00BE046A" w:rsidP="00BE046A">
      <w:pPr>
        <w:spacing w:line="600" w:lineRule="exact"/>
        <w:jc w:val="center"/>
        <w:rPr>
          <w:rFonts w:ascii="方正小标宋简体" w:eastAsia="方正小标宋简体" w:hAnsi="宋体" w:cs="宋体"/>
          <w:bCs/>
          <w:color w:val="000000"/>
          <w:kern w:val="0"/>
          <w:sz w:val="36"/>
          <w:szCs w:val="36"/>
        </w:rPr>
      </w:pPr>
      <w:r w:rsidRPr="00BE6DD7">
        <w:rPr>
          <w:rFonts w:ascii="方正小标宋简体" w:eastAsia="方正小标宋简体" w:hAnsi="宋体" w:hint="eastAsia"/>
          <w:sz w:val="36"/>
          <w:szCs w:val="36"/>
        </w:rPr>
        <w:t>青岛市特种</w:t>
      </w:r>
      <w:r w:rsidRPr="00BE6DD7">
        <w:rPr>
          <w:rFonts w:ascii="方正小标宋简体" w:eastAsia="方正小标宋简体" w:hAnsi="宋体"/>
          <w:sz w:val="36"/>
          <w:szCs w:val="36"/>
        </w:rPr>
        <w:t>设备协会组织召开</w:t>
      </w:r>
      <w:r w:rsidRPr="00BE6DD7">
        <w:rPr>
          <w:rFonts w:ascii="方正小标宋简体" w:eastAsia="方正小标宋简体" w:hAnsi="宋体" w:cs="宋体" w:hint="eastAsia"/>
          <w:bCs/>
          <w:color w:val="000000"/>
          <w:kern w:val="0"/>
          <w:sz w:val="36"/>
          <w:szCs w:val="36"/>
        </w:rPr>
        <w:t>大型起重机械</w:t>
      </w:r>
    </w:p>
    <w:p w:rsidR="00BE046A" w:rsidRPr="00BE6DD7" w:rsidRDefault="00BE046A" w:rsidP="00BE046A">
      <w:pPr>
        <w:spacing w:line="600" w:lineRule="exact"/>
        <w:jc w:val="center"/>
        <w:rPr>
          <w:rFonts w:ascii="方正小标宋简体" w:eastAsia="方正小标宋简体" w:hAnsi="宋体"/>
          <w:sz w:val="36"/>
          <w:szCs w:val="36"/>
        </w:rPr>
      </w:pPr>
      <w:r w:rsidRPr="00BE6DD7">
        <w:rPr>
          <w:rFonts w:ascii="方正小标宋简体" w:eastAsia="方正小标宋简体" w:hAnsi="宋体" w:cs="宋体" w:hint="eastAsia"/>
          <w:bCs/>
          <w:color w:val="000000"/>
          <w:kern w:val="0"/>
          <w:sz w:val="36"/>
          <w:szCs w:val="36"/>
        </w:rPr>
        <w:t>安装应用安全监控管理系统</w:t>
      </w:r>
      <w:r w:rsidRPr="00BE6DD7">
        <w:rPr>
          <w:rFonts w:ascii="方正小标宋简体" w:eastAsia="方正小标宋简体" w:hAnsi="宋体" w:hint="eastAsia"/>
          <w:sz w:val="36"/>
          <w:szCs w:val="36"/>
        </w:rPr>
        <w:t>技术交流座谈会</w:t>
      </w:r>
    </w:p>
    <w:p w:rsidR="00BE046A" w:rsidRPr="00EF3248" w:rsidRDefault="00BE046A" w:rsidP="00BE046A">
      <w:pPr>
        <w:spacing w:line="480" w:lineRule="exact"/>
        <w:rPr>
          <w:rFonts w:asciiTheme="minorEastAsia" w:hAnsiTheme="minorEastAsia" w:cs="宋体"/>
          <w:color w:val="000000"/>
          <w:spacing w:val="8"/>
          <w:kern w:val="0"/>
          <w:sz w:val="24"/>
          <w:szCs w:val="24"/>
        </w:rPr>
      </w:pPr>
    </w:p>
    <w:p w:rsidR="00BE046A" w:rsidRPr="00EF3248" w:rsidRDefault="00BE046A" w:rsidP="00BE046A">
      <w:pPr>
        <w:spacing w:line="480" w:lineRule="exact"/>
        <w:ind w:firstLineChars="200" w:firstLine="512"/>
        <w:rPr>
          <w:rFonts w:asciiTheme="minorEastAsia" w:hAnsiTheme="minorEastAsia" w:cs="宋体"/>
          <w:bCs/>
          <w:color w:val="000000"/>
          <w:kern w:val="0"/>
          <w:sz w:val="24"/>
          <w:szCs w:val="24"/>
        </w:rPr>
      </w:pPr>
      <w:r w:rsidRPr="00EF3248">
        <w:rPr>
          <w:rFonts w:asciiTheme="minorEastAsia" w:hAnsiTheme="minorEastAsia" w:cs="宋体" w:hint="eastAsia"/>
          <w:color w:val="000000"/>
          <w:spacing w:val="8"/>
          <w:kern w:val="0"/>
          <w:sz w:val="24"/>
          <w:szCs w:val="24"/>
        </w:rPr>
        <w:t>为全面贯彻落实国家</w:t>
      </w:r>
      <w:r w:rsidRPr="00EF3248">
        <w:rPr>
          <w:rFonts w:asciiTheme="minorEastAsia" w:hAnsiTheme="minorEastAsia" w:cs="宋体" w:hint="eastAsia"/>
          <w:bCs/>
          <w:color w:val="000000"/>
          <w:kern w:val="0"/>
          <w:sz w:val="24"/>
          <w:szCs w:val="24"/>
        </w:rPr>
        <w:t>质检总局、安全监管总局《关于在部分大型起重机械推广应用安全监控管理系统及继续深入开展示范试点工作的通知》，进一步</w:t>
      </w:r>
      <w:r w:rsidRPr="00EF3248">
        <w:rPr>
          <w:rFonts w:asciiTheme="minorEastAsia" w:hAnsiTheme="minorEastAsia" w:cs="宋体"/>
          <w:bCs/>
          <w:color w:val="000000"/>
          <w:kern w:val="0"/>
          <w:sz w:val="24"/>
          <w:szCs w:val="24"/>
        </w:rPr>
        <w:t>加强大型起重机械安全生产管理，</w:t>
      </w:r>
      <w:r w:rsidRPr="00EF3248">
        <w:rPr>
          <w:rFonts w:asciiTheme="minorEastAsia" w:hAnsiTheme="minorEastAsia" w:cs="宋体" w:hint="eastAsia"/>
          <w:bCs/>
          <w:color w:val="000000"/>
          <w:kern w:val="0"/>
          <w:sz w:val="24"/>
          <w:szCs w:val="24"/>
        </w:rPr>
        <w:t>尽快</w:t>
      </w:r>
      <w:r w:rsidRPr="00EF3248">
        <w:rPr>
          <w:rFonts w:asciiTheme="minorEastAsia" w:hAnsiTheme="minorEastAsia" w:cs="宋体"/>
          <w:bCs/>
          <w:color w:val="000000"/>
          <w:kern w:val="0"/>
          <w:sz w:val="24"/>
          <w:szCs w:val="24"/>
        </w:rPr>
        <w:t>完成安全</w:t>
      </w:r>
      <w:r w:rsidRPr="00EF3248">
        <w:rPr>
          <w:rFonts w:asciiTheme="minorEastAsia" w:hAnsiTheme="minorEastAsia" w:cs="宋体" w:hint="eastAsia"/>
          <w:bCs/>
          <w:color w:val="000000"/>
          <w:kern w:val="0"/>
          <w:sz w:val="24"/>
          <w:szCs w:val="24"/>
        </w:rPr>
        <w:t>监控</w:t>
      </w:r>
      <w:r w:rsidRPr="00EF3248">
        <w:rPr>
          <w:rFonts w:asciiTheme="minorEastAsia" w:hAnsiTheme="minorEastAsia" w:cs="宋体"/>
          <w:bCs/>
          <w:color w:val="000000"/>
          <w:kern w:val="0"/>
          <w:sz w:val="24"/>
          <w:szCs w:val="24"/>
        </w:rPr>
        <w:t>管理系统的加装工作，</w:t>
      </w:r>
      <w:r w:rsidRPr="00EF3248">
        <w:rPr>
          <w:rFonts w:asciiTheme="minorEastAsia" w:hAnsiTheme="minorEastAsia" w:cs="宋体" w:hint="eastAsia"/>
          <w:bCs/>
          <w:color w:val="000000"/>
          <w:kern w:val="0"/>
          <w:sz w:val="24"/>
          <w:szCs w:val="24"/>
        </w:rPr>
        <w:t>2014年4月24日青岛市特种设备协会与中国</w:t>
      </w:r>
      <w:r w:rsidRPr="00EF3248">
        <w:rPr>
          <w:rFonts w:asciiTheme="minorEastAsia" w:hAnsiTheme="minorEastAsia" w:hint="eastAsia"/>
          <w:sz w:val="24"/>
          <w:szCs w:val="24"/>
        </w:rPr>
        <w:t>特种设备检测研究院结构</w:t>
      </w:r>
      <w:r w:rsidRPr="00EF3248">
        <w:rPr>
          <w:rFonts w:asciiTheme="minorEastAsia" w:hAnsiTheme="minorEastAsia"/>
          <w:sz w:val="24"/>
          <w:szCs w:val="24"/>
        </w:rPr>
        <w:t>健康诊断事业部联合</w:t>
      </w:r>
      <w:r w:rsidRPr="00EF3248">
        <w:rPr>
          <w:rFonts w:asciiTheme="minorEastAsia" w:hAnsiTheme="minorEastAsia" w:cs="宋体" w:hint="eastAsia"/>
          <w:bCs/>
          <w:color w:val="000000"/>
          <w:kern w:val="0"/>
          <w:sz w:val="24"/>
          <w:szCs w:val="24"/>
        </w:rPr>
        <w:t>组织召开了我市大型起重机械安装应用安全监控管理系统</w:t>
      </w:r>
      <w:r w:rsidRPr="00EF3248">
        <w:rPr>
          <w:rFonts w:asciiTheme="minorEastAsia" w:hAnsiTheme="minorEastAsia" w:hint="eastAsia"/>
          <w:sz w:val="24"/>
          <w:szCs w:val="24"/>
        </w:rPr>
        <w:t>技术交流座谈会，我市</w:t>
      </w:r>
      <w:r w:rsidRPr="00EF3248">
        <w:rPr>
          <w:rFonts w:asciiTheme="minorEastAsia" w:hAnsiTheme="minorEastAsia"/>
          <w:sz w:val="24"/>
          <w:szCs w:val="24"/>
        </w:rPr>
        <w:t>北船重工、武船重工等六家</w:t>
      </w:r>
      <w:r w:rsidRPr="00EF3248">
        <w:rPr>
          <w:rFonts w:asciiTheme="minorEastAsia" w:hAnsiTheme="minorEastAsia" w:cs="宋体" w:hint="eastAsia"/>
          <w:bCs/>
          <w:color w:val="000000"/>
          <w:kern w:val="0"/>
          <w:sz w:val="24"/>
          <w:szCs w:val="24"/>
        </w:rPr>
        <w:t>大型起重机械生产</w:t>
      </w:r>
      <w:r w:rsidRPr="00EF3248">
        <w:rPr>
          <w:rFonts w:asciiTheme="minorEastAsia" w:hAnsiTheme="minorEastAsia" w:cs="宋体"/>
          <w:bCs/>
          <w:color w:val="000000"/>
          <w:kern w:val="0"/>
          <w:sz w:val="24"/>
          <w:szCs w:val="24"/>
        </w:rPr>
        <w:t>使用单位的</w:t>
      </w:r>
      <w:r w:rsidRPr="00EF3248">
        <w:rPr>
          <w:rFonts w:asciiTheme="minorEastAsia" w:hAnsiTheme="minorEastAsia" w:cs="宋体" w:hint="eastAsia"/>
          <w:bCs/>
          <w:color w:val="000000"/>
          <w:kern w:val="0"/>
          <w:sz w:val="24"/>
          <w:szCs w:val="24"/>
        </w:rPr>
        <w:t>13人</w:t>
      </w:r>
      <w:r w:rsidRPr="00EF3248">
        <w:rPr>
          <w:rFonts w:asciiTheme="minorEastAsia" w:hAnsiTheme="minorEastAsia" w:cs="宋体"/>
          <w:bCs/>
          <w:color w:val="000000"/>
          <w:kern w:val="0"/>
          <w:sz w:val="24"/>
          <w:szCs w:val="24"/>
        </w:rPr>
        <w:t>参加了座谈会</w:t>
      </w:r>
      <w:r w:rsidRPr="00EF3248">
        <w:rPr>
          <w:rFonts w:asciiTheme="minorEastAsia" w:hAnsiTheme="minorEastAsia" w:cs="宋体" w:hint="eastAsia"/>
          <w:bCs/>
          <w:color w:val="000000"/>
          <w:kern w:val="0"/>
          <w:sz w:val="24"/>
          <w:szCs w:val="24"/>
        </w:rPr>
        <w:t>。</w:t>
      </w:r>
    </w:p>
    <w:p w:rsidR="00BE046A" w:rsidRPr="00EF3248" w:rsidRDefault="00BE046A" w:rsidP="00BE046A">
      <w:pPr>
        <w:spacing w:line="480" w:lineRule="exact"/>
        <w:ind w:firstLineChars="200" w:firstLine="480"/>
        <w:rPr>
          <w:rFonts w:asciiTheme="minorEastAsia" w:hAnsiTheme="minorEastAsia" w:cs="宋体"/>
          <w:bCs/>
          <w:color w:val="000000"/>
          <w:kern w:val="0"/>
          <w:sz w:val="24"/>
          <w:szCs w:val="24"/>
        </w:rPr>
      </w:pPr>
      <w:r w:rsidRPr="00EF3248">
        <w:rPr>
          <w:rFonts w:asciiTheme="minorEastAsia" w:hAnsiTheme="minorEastAsia" w:cs="宋体" w:hint="eastAsia"/>
          <w:bCs/>
          <w:color w:val="000000"/>
          <w:kern w:val="0"/>
          <w:sz w:val="24"/>
          <w:szCs w:val="24"/>
        </w:rPr>
        <w:t>会议</w:t>
      </w:r>
      <w:r w:rsidRPr="00EF3248">
        <w:rPr>
          <w:rFonts w:asciiTheme="minorEastAsia" w:hAnsiTheme="minorEastAsia" w:cs="宋体"/>
          <w:bCs/>
          <w:color w:val="000000"/>
          <w:kern w:val="0"/>
          <w:sz w:val="24"/>
          <w:szCs w:val="24"/>
        </w:rPr>
        <w:t>学习了</w:t>
      </w:r>
      <w:r w:rsidRPr="00EF3248">
        <w:rPr>
          <w:rFonts w:asciiTheme="minorEastAsia" w:hAnsiTheme="minorEastAsia" w:cs="宋体" w:hint="eastAsia"/>
          <w:bCs/>
          <w:color w:val="000000"/>
          <w:kern w:val="0"/>
          <w:sz w:val="24"/>
          <w:szCs w:val="24"/>
        </w:rPr>
        <w:t>国家</w:t>
      </w:r>
      <w:r w:rsidRPr="00EF3248">
        <w:rPr>
          <w:rFonts w:asciiTheme="minorEastAsia" w:hAnsiTheme="minorEastAsia" w:cs="宋体"/>
          <w:bCs/>
          <w:color w:val="000000"/>
          <w:kern w:val="0"/>
          <w:sz w:val="24"/>
          <w:szCs w:val="24"/>
        </w:rPr>
        <w:t>质检总局和安监总局</w:t>
      </w:r>
      <w:r w:rsidRPr="00EF3248">
        <w:rPr>
          <w:rFonts w:asciiTheme="minorEastAsia" w:hAnsiTheme="minorEastAsia" w:cs="宋体" w:hint="eastAsia"/>
          <w:bCs/>
          <w:color w:val="000000"/>
          <w:kern w:val="0"/>
          <w:sz w:val="24"/>
          <w:szCs w:val="24"/>
        </w:rPr>
        <w:t>关于大型起重机械安全监控管理系统推广</w:t>
      </w:r>
      <w:r w:rsidRPr="00EF3248">
        <w:rPr>
          <w:rFonts w:asciiTheme="minorEastAsia" w:hAnsiTheme="minorEastAsia" w:cs="宋体"/>
          <w:bCs/>
          <w:color w:val="000000"/>
          <w:kern w:val="0"/>
          <w:sz w:val="24"/>
          <w:szCs w:val="24"/>
        </w:rPr>
        <w:t>应用工作文件精神</w:t>
      </w:r>
      <w:r w:rsidRPr="00EF3248">
        <w:rPr>
          <w:rFonts w:asciiTheme="minorEastAsia" w:hAnsiTheme="minorEastAsia" w:cs="宋体" w:hint="eastAsia"/>
          <w:bCs/>
          <w:color w:val="000000"/>
          <w:kern w:val="0"/>
          <w:sz w:val="24"/>
          <w:szCs w:val="24"/>
        </w:rPr>
        <w:t>，</w:t>
      </w:r>
      <w:r w:rsidRPr="00EF3248">
        <w:rPr>
          <w:rFonts w:asciiTheme="minorEastAsia" w:hAnsiTheme="minorEastAsia" w:hint="eastAsia"/>
          <w:sz w:val="24"/>
          <w:szCs w:val="24"/>
        </w:rPr>
        <w:t>针对大型港口起重机械健康监测与风险管理技术的应用与发展、基于物联网的起重机械风险管理技术应用与发展，以及大型起重机安全性评价具体实施方案等内容</w:t>
      </w:r>
      <w:r w:rsidRPr="00EF3248">
        <w:rPr>
          <w:rFonts w:asciiTheme="minorEastAsia" w:hAnsiTheme="minorEastAsia"/>
          <w:sz w:val="24"/>
          <w:szCs w:val="24"/>
        </w:rPr>
        <w:t>进行了研讨</w:t>
      </w:r>
      <w:r w:rsidRPr="00EF3248">
        <w:rPr>
          <w:rFonts w:asciiTheme="minorEastAsia" w:hAnsiTheme="minorEastAsia" w:hint="eastAsia"/>
          <w:sz w:val="24"/>
          <w:szCs w:val="24"/>
        </w:rPr>
        <w:t>。</w:t>
      </w:r>
    </w:p>
    <w:p w:rsidR="005D735E" w:rsidRDefault="00BE046A" w:rsidP="00BE046A">
      <w:pPr>
        <w:spacing w:line="480" w:lineRule="exact"/>
        <w:ind w:firstLineChars="200" w:firstLine="480"/>
        <w:rPr>
          <w:rFonts w:asciiTheme="minorEastAsia" w:hAnsiTheme="minorEastAsia" w:cs="宋体"/>
          <w:bCs/>
          <w:color w:val="000000"/>
          <w:kern w:val="0"/>
          <w:sz w:val="24"/>
          <w:szCs w:val="24"/>
        </w:rPr>
      </w:pPr>
      <w:r w:rsidRPr="00EF3248">
        <w:rPr>
          <w:rFonts w:asciiTheme="minorEastAsia" w:hAnsiTheme="minorEastAsia" w:cs="宋体" w:hint="eastAsia"/>
          <w:bCs/>
          <w:color w:val="000000"/>
          <w:kern w:val="0"/>
          <w:sz w:val="24"/>
          <w:szCs w:val="24"/>
        </w:rPr>
        <w:t>通过</w:t>
      </w:r>
      <w:r w:rsidRPr="00EF3248">
        <w:rPr>
          <w:rFonts w:asciiTheme="minorEastAsia" w:hAnsiTheme="minorEastAsia" w:cs="宋体"/>
          <w:bCs/>
          <w:color w:val="000000"/>
          <w:kern w:val="0"/>
          <w:sz w:val="24"/>
          <w:szCs w:val="24"/>
        </w:rPr>
        <w:t>召开座谈会</w:t>
      </w:r>
      <w:r w:rsidRPr="00EF3248">
        <w:rPr>
          <w:rFonts w:asciiTheme="minorEastAsia" w:hAnsiTheme="minorEastAsia" w:cs="宋体" w:hint="eastAsia"/>
          <w:bCs/>
          <w:color w:val="000000"/>
          <w:kern w:val="0"/>
          <w:sz w:val="24"/>
          <w:szCs w:val="24"/>
        </w:rPr>
        <w:t>，</w:t>
      </w:r>
      <w:r w:rsidRPr="00EF3248">
        <w:rPr>
          <w:rFonts w:asciiTheme="minorEastAsia" w:hAnsiTheme="minorEastAsia" w:cs="宋体"/>
          <w:bCs/>
          <w:color w:val="000000"/>
          <w:kern w:val="0"/>
          <w:sz w:val="24"/>
          <w:szCs w:val="24"/>
        </w:rPr>
        <w:t>交流了经验，明确了任务，进一步推动</w:t>
      </w:r>
      <w:r w:rsidRPr="00EF3248">
        <w:rPr>
          <w:rFonts w:asciiTheme="minorEastAsia" w:hAnsiTheme="minorEastAsia" w:cs="宋体" w:hint="eastAsia"/>
          <w:bCs/>
          <w:color w:val="000000"/>
          <w:kern w:val="0"/>
          <w:sz w:val="24"/>
          <w:szCs w:val="24"/>
        </w:rPr>
        <w:t>了大型起重机械安全监控管理系统推广应用的</w:t>
      </w:r>
      <w:r w:rsidRPr="00EF3248">
        <w:rPr>
          <w:rFonts w:asciiTheme="minorEastAsia" w:hAnsiTheme="minorEastAsia" w:cs="宋体"/>
          <w:bCs/>
          <w:color w:val="000000"/>
          <w:kern w:val="0"/>
          <w:sz w:val="24"/>
          <w:szCs w:val="24"/>
        </w:rPr>
        <w:t>实施</w:t>
      </w:r>
      <w:r w:rsidRPr="00EF3248">
        <w:rPr>
          <w:rFonts w:asciiTheme="minorEastAsia" w:hAnsiTheme="minorEastAsia" w:cs="宋体" w:hint="eastAsia"/>
          <w:bCs/>
          <w:color w:val="000000"/>
          <w:kern w:val="0"/>
          <w:sz w:val="24"/>
          <w:szCs w:val="24"/>
        </w:rPr>
        <w:t>。</w:t>
      </w:r>
    </w:p>
    <w:p w:rsidR="008D2117" w:rsidRDefault="008D2117" w:rsidP="008D2117">
      <w:pPr>
        <w:spacing w:line="480" w:lineRule="exact"/>
        <w:rPr>
          <w:rFonts w:asciiTheme="minorEastAsia" w:hAnsiTheme="minorEastAsia"/>
          <w:sz w:val="24"/>
          <w:szCs w:val="24"/>
        </w:rPr>
      </w:pPr>
    </w:p>
    <w:p w:rsidR="00CB5179" w:rsidRDefault="00CB5179" w:rsidP="00CB5179">
      <w:pPr>
        <w:widowControl/>
        <w:spacing w:line="420" w:lineRule="atLeast"/>
        <w:jc w:val="left"/>
        <w:rPr>
          <w:rFonts w:ascii="方正小标宋简体" w:eastAsia="方正小标宋简体" w:hAnsi="宋体" w:cs="宋体"/>
          <w:bCs/>
          <w:color w:val="333333"/>
          <w:kern w:val="0"/>
          <w:sz w:val="36"/>
          <w:szCs w:val="36"/>
        </w:rPr>
      </w:pPr>
      <w:r>
        <w:rPr>
          <w:rFonts w:ascii="黑体" w:eastAsia="黑体" w:hAnsi="黑体" w:hint="eastAsia"/>
          <w:sz w:val="28"/>
          <w:szCs w:val="28"/>
          <w:shd w:val="pct15" w:color="auto" w:fill="FFFFFF"/>
        </w:rPr>
        <w:t>学习</w:t>
      </w:r>
      <w:r>
        <w:rPr>
          <w:rFonts w:ascii="黑体" w:eastAsia="黑体" w:hAnsi="黑体"/>
          <w:sz w:val="28"/>
          <w:szCs w:val="28"/>
          <w:shd w:val="pct15" w:color="auto" w:fill="FFFFFF"/>
        </w:rPr>
        <w:t>材料</w:t>
      </w:r>
    </w:p>
    <w:p w:rsidR="00CB5179" w:rsidRDefault="00CB5179" w:rsidP="00CB5179">
      <w:pPr>
        <w:widowControl/>
        <w:spacing w:line="420" w:lineRule="atLeast"/>
        <w:jc w:val="left"/>
        <w:rPr>
          <w:rFonts w:ascii="方正小标宋简体" w:eastAsia="方正小标宋简体" w:hAnsi="宋体" w:cs="宋体"/>
          <w:bCs/>
          <w:color w:val="333333"/>
          <w:kern w:val="0"/>
          <w:sz w:val="36"/>
          <w:szCs w:val="36"/>
        </w:rPr>
      </w:pPr>
    </w:p>
    <w:p w:rsidR="008D2117" w:rsidRPr="00323E3B" w:rsidRDefault="008D2117" w:rsidP="00323E3B">
      <w:pPr>
        <w:widowControl/>
        <w:spacing w:line="420" w:lineRule="atLeast"/>
        <w:jc w:val="center"/>
        <w:rPr>
          <w:rFonts w:ascii="方正小标宋简体" w:eastAsia="方正小标宋简体" w:hAnsi="宋体" w:cs="宋体"/>
          <w:color w:val="000000"/>
          <w:kern w:val="0"/>
          <w:sz w:val="36"/>
          <w:szCs w:val="36"/>
        </w:rPr>
      </w:pPr>
      <w:r w:rsidRPr="00323E3B">
        <w:rPr>
          <w:rFonts w:ascii="方正小标宋简体" w:eastAsia="方正小标宋简体" w:hAnsi="宋体" w:cs="宋体" w:hint="eastAsia"/>
          <w:bCs/>
          <w:color w:val="333333"/>
          <w:kern w:val="0"/>
          <w:sz w:val="36"/>
          <w:szCs w:val="36"/>
        </w:rPr>
        <w:lastRenderedPageBreak/>
        <w:t>民政部关于印发《关于规范社会团体开展合作活动若干问题的规定》的通知</w:t>
      </w:r>
    </w:p>
    <w:p w:rsidR="008D2117" w:rsidRPr="00323E3B" w:rsidRDefault="008D2117" w:rsidP="008D2117">
      <w:pPr>
        <w:widowControl/>
        <w:spacing w:line="420" w:lineRule="atLeast"/>
        <w:jc w:val="center"/>
        <w:rPr>
          <w:rFonts w:asciiTheme="minorEastAsia" w:hAnsiTheme="minorEastAsia" w:cs="宋体"/>
          <w:color w:val="000000"/>
          <w:kern w:val="0"/>
          <w:sz w:val="28"/>
          <w:szCs w:val="28"/>
        </w:rPr>
      </w:pPr>
      <w:r w:rsidRPr="00323E3B">
        <w:rPr>
          <w:rFonts w:asciiTheme="minorEastAsia" w:hAnsiTheme="minorEastAsia" w:cs="宋体" w:hint="eastAsia"/>
          <w:bCs/>
          <w:color w:val="333333"/>
          <w:kern w:val="0"/>
          <w:sz w:val="28"/>
          <w:szCs w:val="28"/>
        </w:rPr>
        <w:t>民发〔2012〕166号</w:t>
      </w:r>
    </w:p>
    <w:p w:rsidR="008D2117" w:rsidRPr="00323E3B" w:rsidRDefault="008D2117" w:rsidP="008D2117">
      <w:pPr>
        <w:widowControl/>
        <w:spacing w:line="420" w:lineRule="atLeast"/>
        <w:jc w:val="left"/>
        <w:rPr>
          <w:rFonts w:asciiTheme="minorEastAsia" w:hAnsiTheme="minorEastAsia" w:cs="宋体"/>
          <w:color w:val="000000"/>
          <w:kern w:val="0"/>
          <w:sz w:val="28"/>
          <w:szCs w:val="28"/>
        </w:rPr>
      </w:pPr>
    </w:p>
    <w:p w:rsidR="008D2117" w:rsidRPr="00323E3B" w:rsidRDefault="008D2117" w:rsidP="008D2117">
      <w:pPr>
        <w:widowControl/>
        <w:spacing w:line="420" w:lineRule="atLeast"/>
        <w:jc w:val="left"/>
        <w:rPr>
          <w:rFonts w:asciiTheme="minorEastAsia" w:hAnsiTheme="minorEastAsia" w:cs="宋体"/>
          <w:color w:val="000000"/>
          <w:kern w:val="0"/>
          <w:sz w:val="28"/>
          <w:szCs w:val="28"/>
        </w:rPr>
      </w:pPr>
      <w:r w:rsidRPr="00323E3B">
        <w:rPr>
          <w:rFonts w:asciiTheme="minorEastAsia" w:hAnsiTheme="minorEastAsia" w:cs="宋体" w:hint="eastAsia"/>
          <w:color w:val="333333"/>
          <w:kern w:val="0"/>
          <w:sz w:val="28"/>
          <w:szCs w:val="28"/>
        </w:rPr>
        <w:t>各省、自治区、直辖市民政厅（局），各计划单列市民政局，新疆生产建设兵团民政局：</w:t>
      </w:r>
    </w:p>
    <w:p w:rsidR="008D2117" w:rsidRPr="00323E3B" w:rsidRDefault="008D2117" w:rsidP="008D2117">
      <w:pPr>
        <w:widowControl/>
        <w:spacing w:line="420" w:lineRule="atLeast"/>
        <w:jc w:val="left"/>
        <w:rPr>
          <w:rFonts w:asciiTheme="minorEastAsia" w:hAnsiTheme="minorEastAsia" w:cs="宋体"/>
          <w:color w:val="000000"/>
          <w:kern w:val="0"/>
          <w:sz w:val="28"/>
          <w:szCs w:val="28"/>
        </w:rPr>
      </w:pPr>
      <w:r w:rsidRPr="00323E3B">
        <w:rPr>
          <w:rFonts w:asciiTheme="minorEastAsia" w:hAnsiTheme="minorEastAsia" w:cs="宋体" w:hint="eastAsia"/>
          <w:color w:val="333333"/>
          <w:kern w:val="0"/>
          <w:sz w:val="28"/>
          <w:szCs w:val="28"/>
        </w:rPr>
        <w:t>  根据《社会团体登记管理条例》等有关法规和政策规定，我部制定了《关于规范社会团体开展合作活动若干问题的规定》，现印发给你们，请遵照执行。</w:t>
      </w:r>
    </w:p>
    <w:p w:rsidR="008D2117" w:rsidRPr="00323E3B" w:rsidRDefault="008D2117" w:rsidP="008D2117">
      <w:pPr>
        <w:widowControl/>
        <w:spacing w:line="420" w:lineRule="atLeast"/>
        <w:ind w:firstLine="640"/>
        <w:jc w:val="left"/>
        <w:rPr>
          <w:rFonts w:asciiTheme="minorEastAsia" w:hAnsiTheme="minorEastAsia" w:cs="宋体"/>
          <w:color w:val="000000"/>
          <w:kern w:val="0"/>
          <w:sz w:val="28"/>
          <w:szCs w:val="28"/>
        </w:rPr>
      </w:pPr>
      <w:r w:rsidRPr="00323E3B">
        <w:rPr>
          <w:rFonts w:asciiTheme="minorEastAsia" w:hAnsiTheme="minorEastAsia" w:cs="宋体" w:hint="eastAsia"/>
          <w:color w:val="333333"/>
          <w:kern w:val="0"/>
          <w:sz w:val="28"/>
          <w:szCs w:val="28"/>
        </w:rPr>
        <w:t> </w:t>
      </w:r>
    </w:p>
    <w:p w:rsidR="008D2117" w:rsidRPr="00323E3B" w:rsidRDefault="008D2117" w:rsidP="008D2117">
      <w:pPr>
        <w:widowControl/>
        <w:spacing w:line="420" w:lineRule="atLeast"/>
        <w:jc w:val="left"/>
        <w:rPr>
          <w:rFonts w:asciiTheme="minorEastAsia" w:hAnsiTheme="minorEastAsia" w:cs="宋体"/>
          <w:color w:val="000000"/>
          <w:kern w:val="0"/>
          <w:sz w:val="28"/>
          <w:szCs w:val="28"/>
        </w:rPr>
      </w:pPr>
      <w:r w:rsidRPr="00323E3B">
        <w:rPr>
          <w:rFonts w:asciiTheme="minorEastAsia" w:hAnsiTheme="minorEastAsia" w:cs="宋体" w:hint="eastAsia"/>
          <w:color w:val="333333"/>
          <w:kern w:val="0"/>
          <w:sz w:val="28"/>
          <w:szCs w:val="28"/>
        </w:rPr>
        <w:t>                                            </w:t>
      </w:r>
      <w:r w:rsidR="00323E3B">
        <w:rPr>
          <w:rFonts w:asciiTheme="minorEastAsia" w:hAnsiTheme="minorEastAsia" w:cs="宋体"/>
          <w:color w:val="333333"/>
          <w:kern w:val="0"/>
          <w:sz w:val="28"/>
          <w:szCs w:val="28"/>
        </w:rPr>
        <w:t xml:space="preserve">             </w:t>
      </w:r>
      <w:r w:rsidRPr="00323E3B">
        <w:rPr>
          <w:rFonts w:asciiTheme="minorEastAsia" w:hAnsiTheme="minorEastAsia" w:cs="宋体" w:hint="eastAsia"/>
          <w:color w:val="333333"/>
          <w:kern w:val="0"/>
          <w:sz w:val="28"/>
          <w:szCs w:val="28"/>
        </w:rPr>
        <w:t>民政部</w:t>
      </w:r>
    </w:p>
    <w:p w:rsidR="008D2117" w:rsidRPr="00323E3B" w:rsidRDefault="008D2117" w:rsidP="008D2117">
      <w:pPr>
        <w:widowControl/>
        <w:spacing w:line="420" w:lineRule="atLeast"/>
        <w:ind w:firstLine="640"/>
        <w:jc w:val="left"/>
        <w:rPr>
          <w:rFonts w:ascii="仿宋_GB2312" w:eastAsia="仿宋_GB2312" w:hAnsi="宋体" w:cs="宋体"/>
          <w:color w:val="000000"/>
          <w:kern w:val="0"/>
          <w:sz w:val="28"/>
          <w:szCs w:val="28"/>
        </w:rPr>
      </w:pPr>
      <w:r w:rsidRPr="00323E3B">
        <w:rPr>
          <w:rFonts w:asciiTheme="minorEastAsia" w:hAnsiTheme="minorEastAsia" w:cs="宋体" w:hint="eastAsia"/>
          <w:color w:val="333333"/>
          <w:kern w:val="0"/>
          <w:sz w:val="28"/>
          <w:szCs w:val="28"/>
        </w:rPr>
        <w:t>              </w:t>
      </w:r>
      <w:r w:rsidR="00323E3B">
        <w:rPr>
          <w:rFonts w:asciiTheme="minorEastAsia" w:hAnsiTheme="minorEastAsia" w:cs="宋体"/>
          <w:color w:val="333333"/>
          <w:kern w:val="0"/>
          <w:sz w:val="28"/>
          <w:szCs w:val="28"/>
        </w:rPr>
        <w:t xml:space="preserve">      </w:t>
      </w:r>
      <w:smartTag w:uri="urn:schemas-microsoft-com:office:smarttags" w:element="chsdate">
        <w:smartTagPr>
          <w:attr w:name="Year" w:val="2012"/>
          <w:attr w:name="Month" w:val="9"/>
          <w:attr w:name="Day" w:val="27"/>
          <w:attr w:name="IsLunarDate" w:val="False"/>
          <w:attr w:name="IsROCDate" w:val="False"/>
        </w:smartTagPr>
        <w:r w:rsidRPr="00323E3B">
          <w:rPr>
            <w:rFonts w:asciiTheme="minorEastAsia" w:hAnsiTheme="minorEastAsia" w:cs="宋体" w:hint="eastAsia"/>
            <w:color w:val="333333"/>
            <w:kern w:val="0"/>
            <w:sz w:val="28"/>
            <w:szCs w:val="28"/>
          </w:rPr>
          <w:t>2012年9月27日</w:t>
        </w:r>
      </w:smartTag>
    </w:p>
    <w:p w:rsidR="00CB5179" w:rsidRDefault="00CB5179" w:rsidP="00323E3B">
      <w:pPr>
        <w:widowControl/>
        <w:spacing w:line="420" w:lineRule="atLeast"/>
        <w:jc w:val="left"/>
        <w:rPr>
          <w:rFonts w:ascii="仿宋_GB2312" w:eastAsia="仿宋_GB2312" w:hAnsi="宋体" w:cs="宋体"/>
          <w:color w:val="333333"/>
          <w:kern w:val="0"/>
          <w:sz w:val="32"/>
          <w:szCs w:val="32"/>
        </w:rPr>
      </w:pPr>
    </w:p>
    <w:p w:rsidR="00A22C21" w:rsidRDefault="00A22C21" w:rsidP="00323E3B">
      <w:pPr>
        <w:widowControl/>
        <w:spacing w:line="420" w:lineRule="atLeast"/>
        <w:jc w:val="left"/>
        <w:rPr>
          <w:rFonts w:asciiTheme="minorEastAsia" w:hAnsiTheme="minorEastAsia" w:cs="宋体"/>
          <w:color w:val="333333"/>
          <w:kern w:val="0"/>
          <w:sz w:val="28"/>
          <w:szCs w:val="28"/>
        </w:rPr>
      </w:pPr>
    </w:p>
    <w:p w:rsidR="008D2117" w:rsidRDefault="00CB5179" w:rsidP="00323E3B">
      <w:pPr>
        <w:widowControl/>
        <w:spacing w:line="420" w:lineRule="atLeast"/>
        <w:jc w:val="left"/>
        <w:rPr>
          <w:rFonts w:asciiTheme="minorEastAsia" w:hAnsiTheme="minorEastAsia" w:cs="宋体"/>
          <w:color w:val="333333"/>
          <w:kern w:val="0"/>
          <w:sz w:val="28"/>
          <w:szCs w:val="28"/>
        </w:rPr>
      </w:pPr>
      <w:r w:rsidRPr="00CB5179">
        <w:rPr>
          <w:rFonts w:asciiTheme="minorEastAsia" w:hAnsiTheme="minorEastAsia" w:cs="宋体" w:hint="eastAsia"/>
          <w:color w:val="333333"/>
          <w:kern w:val="0"/>
          <w:sz w:val="28"/>
          <w:szCs w:val="28"/>
        </w:rPr>
        <w:t>附件</w:t>
      </w:r>
      <w:r w:rsidRPr="00CB5179">
        <w:rPr>
          <w:rFonts w:asciiTheme="minorEastAsia" w:hAnsiTheme="minorEastAsia" w:cs="宋体"/>
          <w:color w:val="333333"/>
          <w:kern w:val="0"/>
          <w:sz w:val="28"/>
          <w:szCs w:val="28"/>
        </w:rPr>
        <w:t>：</w:t>
      </w:r>
    </w:p>
    <w:p w:rsidR="00CB5179" w:rsidRPr="00CB5179" w:rsidRDefault="00CB5179" w:rsidP="00323E3B">
      <w:pPr>
        <w:widowControl/>
        <w:spacing w:line="420" w:lineRule="atLeast"/>
        <w:jc w:val="left"/>
        <w:rPr>
          <w:rFonts w:asciiTheme="minorEastAsia" w:hAnsiTheme="minorEastAsia" w:cs="宋体"/>
          <w:color w:val="333333"/>
          <w:kern w:val="0"/>
          <w:sz w:val="28"/>
          <w:szCs w:val="28"/>
        </w:rPr>
      </w:pPr>
    </w:p>
    <w:p w:rsidR="008D2117" w:rsidRPr="00323E3B" w:rsidRDefault="008D2117" w:rsidP="00323E3B">
      <w:pPr>
        <w:widowControl/>
        <w:spacing w:line="420" w:lineRule="atLeast"/>
        <w:jc w:val="center"/>
        <w:rPr>
          <w:rFonts w:ascii="方正小标宋简体" w:eastAsia="方正小标宋简体" w:hAnsi="黑体" w:cs="宋体"/>
          <w:color w:val="000000"/>
          <w:kern w:val="0"/>
          <w:sz w:val="36"/>
          <w:szCs w:val="36"/>
        </w:rPr>
      </w:pPr>
      <w:r w:rsidRPr="00323E3B">
        <w:rPr>
          <w:rFonts w:ascii="方正小标宋简体" w:eastAsia="方正小标宋简体" w:hAnsi="黑体" w:cs="宋体" w:hint="eastAsia"/>
          <w:bCs/>
          <w:color w:val="333333"/>
          <w:kern w:val="0"/>
          <w:sz w:val="36"/>
          <w:szCs w:val="36"/>
        </w:rPr>
        <w:t>关于规范社会团体开展合作活动若干问题的规定</w:t>
      </w:r>
    </w:p>
    <w:p w:rsidR="008D2117" w:rsidRPr="009F02EB" w:rsidRDefault="008D2117" w:rsidP="00323E3B">
      <w:pPr>
        <w:widowControl/>
        <w:spacing w:line="420" w:lineRule="atLeast"/>
        <w:jc w:val="left"/>
        <w:rPr>
          <w:rFonts w:ascii="仿宋_GB2312" w:eastAsia="仿宋_GB2312" w:hAnsi="宋体" w:cs="宋体"/>
          <w:color w:val="000000"/>
          <w:kern w:val="0"/>
          <w:sz w:val="32"/>
          <w:szCs w:val="32"/>
        </w:rPr>
      </w:pPr>
    </w:p>
    <w:p w:rsidR="00323E3B" w:rsidRDefault="00323E3B" w:rsidP="008D2117">
      <w:pPr>
        <w:widowControl/>
        <w:spacing w:line="560" w:lineRule="exact"/>
        <w:ind w:firstLine="640"/>
        <w:jc w:val="left"/>
        <w:rPr>
          <w:rFonts w:asciiTheme="minorEastAsia" w:hAnsiTheme="minorEastAsia" w:cs="宋体"/>
          <w:color w:val="333333"/>
          <w:kern w:val="0"/>
          <w:sz w:val="24"/>
          <w:szCs w:val="24"/>
        </w:rPr>
        <w:sectPr w:rsidR="00323E3B" w:rsidSect="006B1268">
          <w:type w:val="continuous"/>
          <w:pgSz w:w="11906" w:h="16838"/>
          <w:pgMar w:top="1440" w:right="1800" w:bottom="1440" w:left="1800" w:header="851" w:footer="992" w:gutter="0"/>
          <w:cols w:space="425"/>
          <w:docGrid w:type="lines" w:linePitch="312"/>
        </w:sectPr>
      </w:pP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lastRenderedPageBreak/>
        <w:t>第一条  为了进一步加强社会团体行为规范，维护社会团体正常活动秩序，规范社会团体开展合作活</w:t>
      </w:r>
      <w:r w:rsidRPr="00323E3B">
        <w:rPr>
          <w:rFonts w:asciiTheme="minorEastAsia" w:hAnsiTheme="minorEastAsia" w:cs="宋体" w:hint="eastAsia"/>
          <w:color w:val="333333"/>
          <w:kern w:val="0"/>
          <w:sz w:val="24"/>
          <w:szCs w:val="24"/>
        </w:rPr>
        <w:lastRenderedPageBreak/>
        <w:t>动，保护社会团体合法权益，制定本规定。</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第二条  社会团体开展合作活动，是指社会团体作为独立法人与其</w:t>
      </w:r>
      <w:r w:rsidRPr="00323E3B">
        <w:rPr>
          <w:rFonts w:asciiTheme="minorEastAsia" w:hAnsiTheme="minorEastAsia" w:cs="宋体" w:hint="eastAsia"/>
          <w:color w:val="333333"/>
          <w:kern w:val="0"/>
          <w:sz w:val="24"/>
          <w:szCs w:val="24"/>
        </w:rPr>
        <w:lastRenderedPageBreak/>
        <w:t>他民事主体联合开展业务活动的行为。</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第三条  社会团体开展合作活动，应当遵守相关法律法规和政策规定，符合章程规定的宗旨和业务范围，自觉接受登记管理机关、行业主管部门、有关职能部门的监督检查和社会监督。</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第四条  社会团体开展合作活动，应当履行内部民主议事程序，根据章程规定和合作事项重要程度，分别提交会员大会（会员代表大会）、理事会（常务理事会）、会长办公会等讨论决定。</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第五条  社会团体开展合作活动，应当签订书面合作协议，明确各方权利、义务，并切实履行职责。</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第六条  社会团体开展合作活动，应当对合作方的资质、能力、信用等进行甄别考察，对合作协议内容认真审核，对合作项目全程监督。</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第七条 </w:t>
      </w:r>
      <w:r w:rsidRPr="00323E3B">
        <w:rPr>
          <w:rFonts w:asciiTheme="minorEastAsia" w:hAnsiTheme="minorEastAsia" w:cs="宋体" w:hint="eastAsia"/>
          <w:b/>
          <w:bCs/>
          <w:color w:val="333333"/>
          <w:kern w:val="0"/>
          <w:sz w:val="24"/>
          <w:szCs w:val="24"/>
        </w:rPr>
        <w:t> </w:t>
      </w:r>
      <w:r w:rsidRPr="00323E3B">
        <w:rPr>
          <w:rFonts w:asciiTheme="minorEastAsia" w:hAnsiTheme="minorEastAsia" w:cs="宋体" w:hint="eastAsia"/>
          <w:color w:val="333333"/>
          <w:kern w:val="0"/>
          <w:sz w:val="24"/>
          <w:szCs w:val="24"/>
        </w:rPr>
        <w:t>社会团体开展合作活动，涉及使用本组织名称、标志的，应当在合作前对合作方进行必要的调查了解，并对合作内容做好风险评估。</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社会团体同意合作方使用本组织名称、标志的，应当与对方签订授权</w:t>
      </w:r>
      <w:r w:rsidRPr="00323E3B">
        <w:rPr>
          <w:rFonts w:asciiTheme="minorEastAsia" w:hAnsiTheme="minorEastAsia" w:cs="宋体" w:hint="eastAsia"/>
          <w:color w:val="333333"/>
          <w:kern w:val="0"/>
          <w:sz w:val="24"/>
          <w:szCs w:val="24"/>
        </w:rPr>
        <w:lastRenderedPageBreak/>
        <w:t>使用协议，明确各方权利、义务和法律责任。</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社会团体以“主办单位”“协办单位”“支持单位”“参与单位”“指导单位”等方式开展合作活动的，应当切实履行相关职责，加强对活动全程监管，不得以挂名方式参与合作。</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社会团体将自身业务活动委托其他组织承办或者协办的，应当加强对所开展活动的主导和监督，不得向承办方或者协办方以任何形式收取费用。</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第八条 </w:t>
      </w:r>
      <w:r w:rsidRPr="00323E3B">
        <w:rPr>
          <w:rFonts w:asciiTheme="minorEastAsia" w:hAnsiTheme="minorEastAsia" w:cs="宋体" w:hint="eastAsia"/>
          <w:b/>
          <w:bCs/>
          <w:color w:val="333333"/>
          <w:kern w:val="0"/>
          <w:sz w:val="24"/>
          <w:szCs w:val="24"/>
        </w:rPr>
        <w:t> </w:t>
      </w:r>
      <w:r w:rsidRPr="00323E3B">
        <w:rPr>
          <w:rFonts w:asciiTheme="minorEastAsia" w:hAnsiTheme="minorEastAsia" w:cs="宋体" w:hint="eastAsia"/>
          <w:color w:val="333333"/>
          <w:kern w:val="0"/>
          <w:sz w:val="24"/>
          <w:szCs w:val="24"/>
        </w:rPr>
        <w:t>社会团体不得将自身开展的经营服务性活动转包或者委托与社会团体负责人、分支机构负责人有直接利益关系的个人或者组织实施。</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第九条 社会团体合作举办经济实体，应当经理事会研究讨论后提请会员大会（会员代表大会）表决通过，其经营范围应当与社会团体章程规定的宗旨和业务范围相适应。</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社会团体应当在资产、机构、人员等方面与所举办经济实体分开，不得利用所举办经济实体向会员或者服务对象强制服务、强制收费。</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lastRenderedPageBreak/>
        <w:t>社会团体和所举办经济实体之间发生经济往来，应当按照等价交换的原则收取价款、支付费用。</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社会团体应当加强对所举办经济实体财务情况的监督，并定期向会员大会（会员代表大会）、理事会报告相关情况。</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第十条 </w:t>
      </w:r>
      <w:r w:rsidRPr="00323E3B">
        <w:rPr>
          <w:rFonts w:asciiTheme="minorEastAsia" w:hAnsiTheme="minorEastAsia" w:cs="宋体" w:hint="eastAsia"/>
          <w:b/>
          <w:bCs/>
          <w:color w:val="333333"/>
          <w:kern w:val="0"/>
          <w:sz w:val="24"/>
          <w:szCs w:val="24"/>
        </w:rPr>
        <w:t> </w:t>
      </w:r>
      <w:r w:rsidRPr="00323E3B">
        <w:rPr>
          <w:rFonts w:asciiTheme="minorEastAsia" w:hAnsiTheme="minorEastAsia" w:cs="宋体" w:hint="eastAsia"/>
          <w:color w:val="333333"/>
          <w:kern w:val="0"/>
          <w:sz w:val="24"/>
          <w:szCs w:val="24"/>
        </w:rPr>
        <w:t>未经社会团体授权或者批准，社会团体分支机构（代表机构）、专项基金管理机构不得与其他民事主体开展合作活动。经授权或者批准开展合作活动的，应当使用冠有所属社会团体名称的规范全称。</w:t>
      </w:r>
    </w:p>
    <w:p w:rsidR="008D2117" w:rsidRPr="00323E3B" w:rsidRDefault="00E93759" w:rsidP="00E93759">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333333"/>
          <w:kern w:val="0"/>
          <w:sz w:val="24"/>
          <w:szCs w:val="24"/>
        </w:rPr>
        <w:t>  </w:t>
      </w:r>
      <w:r w:rsidR="008D2117" w:rsidRPr="00323E3B">
        <w:rPr>
          <w:rFonts w:asciiTheme="minorEastAsia" w:hAnsiTheme="minorEastAsia" w:cs="宋体" w:hint="eastAsia"/>
          <w:color w:val="333333"/>
          <w:kern w:val="0"/>
          <w:sz w:val="24"/>
          <w:szCs w:val="24"/>
        </w:rPr>
        <w:t>社会团体不得将其分支机构（代表机构）、专项基金管理机构委托其他组织运营。</w:t>
      </w:r>
    </w:p>
    <w:p w:rsidR="00E93759" w:rsidRDefault="00E93759" w:rsidP="00E93759">
      <w:pPr>
        <w:widowControl/>
        <w:spacing w:line="360" w:lineRule="auto"/>
        <w:jc w:val="left"/>
        <w:rPr>
          <w:rFonts w:asciiTheme="minorEastAsia" w:hAnsiTheme="minorEastAsia" w:cs="宋体"/>
          <w:color w:val="000000"/>
          <w:kern w:val="0"/>
          <w:sz w:val="24"/>
          <w:szCs w:val="24"/>
        </w:rPr>
      </w:pPr>
      <w:r>
        <w:rPr>
          <w:rFonts w:asciiTheme="minorEastAsia" w:hAnsiTheme="minorEastAsia" w:cs="宋体" w:hint="eastAsia"/>
          <w:color w:val="333333"/>
          <w:kern w:val="0"/>
          <w:sz w:val="24"/>
          <w:szCs w:val="24"/>
        </w:rPr>
        <w:t>  </w:t>
      </w:r>
      <w:r w:rsidR="008D2117" w:rsidRPr="00323E3B">
        <w:rPr>
          <w:rFonts w:asciiTheme="minorEastAsia" w:hAnsiTheme="minorEastAsia" w:cs="宋体" w:hint="eastAsia"/>
          <w:color w:val="333333"/>
          <w:kern w:val="0"/>
          <w:sz w:val="24"/>
          <w:szCs w:val="24"/>
        </w:rPr>
        <w:t>社会团体不得向其分支机构（代表机构）、专项基金管理机构收取或者变相收取管理费用。</w:t>
      </w:r>
      <w:r w:rsidR="008D2117" w:rsidRPr="00323E3B">
        <w:rPr>
          <w:rFonts w:asciiTheme="minorEastAsia" w:hAnsiTheme="minorEastAsia" w:cs="宋体" w:hint="eastAsia"/>
          <w:b/>
          <w:bCs/>
          <w:color w:val="333333"/>
          <w:kern w:val="0"/>
          <w:sz w:val="24"/>
          <w:szCs w:val="24"/>
        </w:rPr>
        <w:t>   </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第十一条 </w:t>
      </w:r>
      <w:r w:rsidRPr="00323E3B">
        <w:rPr>
          <w:rFonts w:asciiTheme="minorEastAsia" w:hAnsiTheme="minorEastAsia" w:cs="宋体" w:hint="eastAsia"/>
          <w:b/>
          <w:bCs/>
          <w:color w:val="333333"/>
          <w:kern w:val="0"/>
          <w:sz w:val="24"/>
          <w:szCs w:val="24"/>
        </w:rPr>
        <w:t> </w:t>
      </w:r>
      <w:r w:rsidRPr="00323E3B">
        <w:rPr>
          <w:rFonts w:asciiTheme="minorEastAsia" w:hAnsiTheme="minorEastAsia" w:cs="宋体" w:hint="eastAsia"/>
          <w:color w:val="333333"/>
          <w:kern w:val="0"/>
          <w:sz w:val="24"/>
          <w:szCs w:val="24"/>
        </w:rPr>
        <w:t>社会团体与境外组织或者个人进行合作，应当遵守有关法律法规和外事管理规定。</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第十二条</w:t>
      </w:r>
      <w:r w:rsidRPr="00323E3B">
        <w:rPr>
          <w:rFonts w:asciiTheme="minorEastAsia" w:hAnsiTheme="minorEastAsia" w:cs="宋体" w:hint="eastAsia"/>
          <w:b/>
          <w:bCs/>
          <w:color w:val="333333"/>
          <w:kern w:val="0"/>
          <w:sz w:val="24"/>
          <w:szCs w:val="24"/>
        </w:rPr>
        <w:t>  </w:t>
      </w:r>
      <w:r w:rsidRPr="00323E3B">
        <w:rPr>
          <w:rFonts w:asciiTheme="minorEastAsia" w:hAnsiTheme="minorEastAsia" w:cs="宋体" w:hint="eastAsia"/>
          <w:color w:val="333333"/>
          <w:kern w:val="0"/>
          <w:sz w:val="24"/>
          <w:szCs w:val="24"/>
        </w:rPr>
        <w:t>社会团体应当加强合作活动的财务管理，严格按照《中</w:t>
      </w:r>
      <w:r w:rsidRPr="00323E3B">
        <w:rPr>
          <w:rFonts w:asciiTheme="minorEastAsia" w:hAnsiTheme="minorEastAsia" w:cs="宋体" w:hint="eastAsia"/>
          <w:color w:val="333333"/>
          <w:kern w:val="0"/>
          <w:sz w:val="24"/>
          <w:szCs w:val="24"/>
        </w:rPr>
        <w:lastRenderedPageBreak/>
        <w:t>华人民共和国会计法》等法律法规以及《民间非营利组织会计制度》等规定，如实进行会计核算，将全部收支纳入单位法定账册。</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第十三条 社会团体开展合作活动，还应当遵守以下规定：</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（一）不得超出章程规定的宗旨和业务范围开展活动；</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（二）不得以任何形式或者名义强制其他组织或者个人参加，不得强制收取相关费用；</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（三）未经批准，不得举办评比达标表彰活动；</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（四）与党政机关或者其他组织举办合作项目，应当事先征得合作方同意；</w:t>
      </w:r>
    </w:p>
    <w:p w:rsidR="008D2117" w:rsidRPr="00323E3B" w:rsidRDefault="008D2117" w:rsidP="00E93759">
      <w:pPr>
        <w:widowControl/>
        <w:spacing w:line="360" w:lineRule="auto"/>
        <w:ind w:firstLineChars="200" w:firstLine="480"/>
        <w:jc w:val="left"/>
        <w:rPr>
          <w:rFonts w:asciiTheme="minorEastAsia" w:hAnsiTheme="minorEastAsia" w:cs="宋体"/>
          <w:color w:val="000000"/>
          <w:kern w:val="0"/>
          <w:sz w:val="24"/>
          <w:szCs w:val="24"/>
        </w:rPr>
      </w:pPr>
      <w:r w:rsidRPr="00323E3B">
        <w:rPr>
          <w:rFonts w:asciiTheme="minorEastAsia" w:hAnsiTheme="minorEastAsia" w:cs="宋体" w:hint="eastAsia"/>
          <w:color w:val="333333"/>
          <w:kern w:val="0"/>
          <w:sz w:val="24"/>
          <w:szCs w:val="24"/>
        </w:rPr>
        <w:t>（五）利用党政机关领导干部个人名义进行宣传，应当征得本人同意。</w:t>
      </w:r>
    </w:p>
    <w:p w:rsidR="00323E3B" w:rsidRDefault="00E93759" w:rsidP="00E93759">
      <w:pPr>
        <w:widowControl/>
        <w:spacing w:line="360" w:lineRule="auto"/>
        <w:jc w:val="left"/>
        <w:rPr>
          <w:rFonts w:asciiTheme="minorEastAsia" w:hAnsiTheme="minorEastAsia" w:cs="宋体"/>
          <w:color w:val="333333"/>
          <w:kern w:val="0"/>
          <w:sz w:val="24"/>
          <w:szCs w:val="24"/>
        </w:rPr>
        <w:sectPr w:rsidR="00323E3B" w:rsidSect="00323E3B">
          <w:type w:val="continuous"/>
          <w:pgSz w:w="11906" w:h="16838"/>
          <w:pgMar w:top="1440" w:right="1800" w:bottom="1440" w:left="1800" w:header="851" w:footer="992" w:gutter="0"/>
          <w:cols w:num="2" w:space="425"/>
          <w:docGrid w:type="lines" w:linePitch="312"/>
        </w:sectPr>
      </w:pPr>
      <w:r>
        <w:rPr>
          <w:rFonts w:asciiTheme="minorEastAsia" w:hAnsiTheme="minorEastAsia" w:cs="宋体" w:hint="eastAsia"/>
          <w:color w:val="333333"/>
          <w:kern w:val="0"/>
          <w:sz w:val="24"/>
          <w:szCs w:val="24"/>
        </w:rPr>
        <w:t>  </w:t>
      </w:r>
      <w:r w:rsidR="008D2117" w:rsidRPr="00323E3B">
        <w:rPr>
          <w:rFonts w:asciiTheme="minorEastAsia" w:hAnsiTheme="minorEastAsia" w:cs="宋体" w:hint="eastAsia"/>
          <w:color w:val="333333"/>
          <w:kern w:val="0"/>
          <w:sz w:val="24"/>
          <w:szCs w:val="24"/>
        </w:rPr>
        <w:t>第十四条</w:t>
      </w:r>
      <w:r w:rsidR="008D2117" w:rsidRPr="00323E3B">
        <w:rPr>
          <w:rFonts w:asciiTheme="minorEastAsia" w:hAnsiTheme="minorEastAsia" w:cs="宋体" w:hint="eastAsia"/>
          <w:b/>
          <w:bCs/>
          <w:color w:val="333333"/>
          <w:kern w:val="0"/>
          <w:sz w:val="24"/>
          <w:szCs w:val="24"/>
        </w:rPr>
        <w:t>  </w:t>
      </w:r>
      <w:r w:rsidR="008D2117" w:rsidRPr="00323E3B">
        <w:rPr>
          <w:rFonts w:asciiTheme="minorEastAsia" w:hAnsiTheme="minorEastAsia" w:cs="宋体" w:hint="eastAsia"/>
          <w:color w:val="333333"/>
          <w:kern w:val="0"/>
          <w:sz w:val="24"/>
          <w:szCs w:val="24"/>
        </w:rPr>
        <w:t>社会团体在接受年度检查时，应当向登记管理机关报告上一年度开展合作活动的情况。</w:t>
      </w:r>
    </w:p>
    <w:p w:rsidR="008D2117" w:rsidRPr="008D2117" w:rsidRDefault="008D2117" w:rsidP="008D2117">
      <w:pPr>
        <w:spacing w:line="480" w:lineRule="exact"/>
        <w:rPr>
          <w:rFonts w:asciiTheme="minorEastAsia" w:hAnsiTheme="minorEastAsia"/>
          <w:sz w:val="24"/>
          <w:szCs w:val="24"/>
        </w:rPr>
      </w:pPr>
    </w:p>
    <w:sectPr w:rsidR="008D2117" w:rsidRPr="008D2117" w:rsidSect="006B1268">
      <w:type w:val="continuous"/>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729" w:rsidRDefault="00A91729" w:rsidP="00EC610E">
      <w:r>
        <w:separator/>
      </w:r>
    </w:p>
  </w:endnote>
  <w:endnote w:type="continuationSeparator" w:id="0">
    <w:p w:rsidR="00A91729" w:rsidRDefault="00A91729" w:rsidP="00EC61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隶二简体">
    <w:panose1 w:val="03000509000000000000"/>
    <w:charset w:val="86"/>
    <w:family w:val="script"/>
    <w:pitch w:val="fixed"/>
    <w:sig w:usb0="00000001" w:usb1="080E0000" w:usb2="00000010" w:usb3="00000000" w:csb0="00040000" w:csb1="00000000"/>
  </w:font>
  <w:font w:name="方正小标宋简体">
    <w:altName w:val="Arial Unicode MS"/>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7312613"/>
      <w:docPartObj>
        <w:docPartGallery w:val="Page Numbers (Bottom of Page)"/>
        <w:docPartUnique/>
      </w:docPartObj>
    </w:sdtPr>
    <w:sdtContent>
      <w:p w:rsidR="00F07846" w:rsidRDefault="00F07846">
        <w:pPr>
          <w:pStyle w:val="a6"/>
          <w:jc w:val="center"/>
        </w:pPr>
        <w:r>
          <w:fldChar w:fldCharType="begin"/>
        </w:r>
        <w:r>
          <w:instrText>PAGE   \* MERGEFORMAT</w:instrText>
        </w:r>
        <w:r>
          <w:fldChar w:fldCharType="separate"/>
        </w:r>
        <w:r w:rsidRPr="00F07846">
          <w:rPr>
            <w:noProof/>
            <w:lang w:val="zh-CN"/>
          </w:rPr>
          <w:t>4</w:t>
        </w:r>
        <w:r>
          <w:fldChar w:fldCharType="end"/>
        </w:r>
      </w:p>
    </w:sdtContent>
  </w:sdt>
  <w:p w:rsidR="00F07846" w:rsidRDefault="00F0784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13" w:rsidRDefault="00CE1613">
    <w:pPr>
      <w:pStyle w:val="a6"/>
      <w:framePr w:h="0" w:wrap="around" w:vAnchor="text" w:hAnchor="margin" w:xAlign="outside" w:y="1"/>
      <w:rPr>
        <w:rStyle w:val="a7"/>
      </w:rPr>
    </w:pPr>
    <w:r>
      <w:fldChar w:fldCharType="begin"/>
    </w:r>
    <w:r>
      <w:rPr>
        <w:rStyle w:val="a7"/>
      </w:rPr>
      <w:instrText xml:space="preserve">PAGE  </w:instrText>
    </w:r>
    <w:r>
      <w:fldChar w:fldCharType="separate"/>
    </w:r>
    <w:r>
      <w:rPr>
        <w:rStyle w:val="a7"/>
      </w:rPr>
      <w:t>- 14 -</w:t>
    </w:r>
    <w:r>
      <w:fldChar w:fldCharType="end"/>
    </w:r>
  </w:p>
  <w:p w:rsidR="00CE1613" w:rsidRDefault="00CE1613">
    <w:pPr>
      <w:pStyle w:val="a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13" w:rsidRDefault="00CE1613">
    <w:pPr>
      <w:pStyle w:val="a6"/>
      <w:framePr w:h="0" w:wrap="around" w:vAnchor="text" w:hAnchor="margin" w:xAlign="outside" w:y="1"/>
      <w:rPr>
        <w:rStyle w:val="a7"/>
        <w:rFonts w:ascii="仿宋_GB2312" w:eastAsia="仿宋_GB2312"/>
        <w:sz w:val="28"/>
        <w:szCs w:val="28"/>
      </w:rPr>
    </w:pPr>
    <w:r>
      <w:rPr>
        <w:rFonts w:ascii="仿宋_GB2312" w:eastAsia="仿宋_GB2312" w:hint="eastAsia"/>
        <w:sz w:val="28"/>
        <w:szCs w:val="28"/>
      </w:rPr>
      <w:fldChar w:fldCharType="begin"/>
    </w:r>
    <w:r>
      <w:rPr>
        <w:rStyle w:val="a7"/>
        <w:rFonts w:ascii="仿宋_GB2312" w:eastAsia="仿宋_GB2312" w:hint="eastAsia"/>
        <w:sz w:val="28"/>
        <w:szCs w:val="28"/>
      </w:rPr>
      <w:instrText xml:space="preserve">PAGE  </w:instrText>
    </w:r>
    <w:r>
      <w:rPr>
        <w:rFonts w:ascii="仿宋_GB2312" w:eastAsia="仿宋_GB2312" w:hint="eastAsia"/>
        <w:sz w:val="28"/>
        <w:szCs w:val="28"/>
      </w:rPr>
      <w:fldChar w:fldCharType="separate"/>
    </w:r>
    <w:r w:rsidR="00F07846">
      <w:rPr>
        <w:rStyle w:val="a7"/>
        <w:rFonts w:ascii="仿宋_GB2312" w:eastAsia="仿宋_GB2312"/>
        <w:noProof/>
        <w:sz w:val="28"/>
        <w:szCs w:val="28"/>
      </w:rPr>
      <w:t>14</w:t>
    </w:r>
    <w:r>
      <w:rPr>
        <w:rFonts w:ascii="仿宋_GB2312" w:eastAsia="仿宋_GB2312" w:hint="eastAsia"/>
        <w:sz w:val="28"/>
        <w:szCs w:val="28"/>
      </w:rPr>
      <w:fldChar w:fldCharType="end"/>
    </w:r>
  </w:p>
  <w:p w:rsidR="00CE1613" w:rsidRDefault="00CE1613">
    <w:pPr>
      <w:pStyle w:val="a6"/>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729" w:rsidRDefault="00A91729" w:rsidP="00EC610E">
      <w:r>
        <w:separator/>
      </w:r>
    </w:p>
  </w:footnote>
  <w:footnote w:type="continuationSeparator" w:id="0">
    <w:p w:rsidR="00A91729" w:rsidRDefault="00A91729" w:rsidP="00EC61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1613" w:rsidRDefault="00CE1613">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86A721"/>
    <w:multiLevelType w:val="singleLevel"/>
    <w:tmpl w:val="5386A721"/>
    <w:lvl w:ilvl="0">
      <w:start w:val="1"/>
      <w:numFmt w:val="chineseCounting"/>
      <w:suff w:val="nothing"/>
      <w:lvlText w:val="（%1）"/>
      <w:lvlJc w:val="left"/>
    </w:lvl>
  </w:abstractNum>
  <w:abstractNum w:abstractNumId="1" w15:restartNumberingAfterBreak="0">
    <w:nsid w:val="5386A7EF"/>
    <w:multiLevelType w:val="singleLevel"/>
    <w:tmpl w:val="5386A7EF"/>
    <w:lvl w:ilvl="0">
      <w:start w:val="2"/>
      <w:numFmt w:val="chineseCounting"/>
      <w:suff w:val="nothing"/>
      <w:lvlText w:val="（%1）"/>
      <w:lvlJc w:val="left"/>
    </w:lvl>
  </w:abstractNum>
  <w:abstractNum w:abstractNumId="2" w15:restartNumberingAfterBreak="0">
    <w:nsid w:val="5386D314"/>
    <w:multiLevelType w:val="singleLevel"/>
    <w:tmpl w:val="5386D314"/>
    <w:lvl w:ilvl="0">
      <w:start w:val="3"/>
      <w:numFmt w:val="chineseCounting"/>
      <w:suff w:val="nothing"/>
      <w:lvlText w:val="（%1）"/>
      <w:lvlJc w:val="left"/>
    </w:lvl>
  </w:abstractNum>
  <w:abstractNum w:abstractNumId="3" w15:restartNumberingAfterBreak="0">
    <w:nsid w:val="5386D957"/>
    <w:multiLevelType w:val="singleLevel"/>
    <w:tmpl w:val="5386D957"/>
    <w:lvl w:ilvl="0">
      <w:start w:val="2"/>
      <w:numFmt w:val="chineseCounting"/>
      <w:suff w:val="nothing"/>
      <w:lvlText w:val="（%1）"/>
      <w:lvlJc w:val="left"/>
    </w:lvl>
  </w:abstractNum>
  <w:abstractNum w:abstractNumId="4" w15:restartNumberingAfterBreak="0">
    <w:nsid w:val="5386E751"/>
    <w:multiLevelType w:val="singleLevel"/>
    <w:tmpl w:val="5386E751"/>
    <w:lvl w:ilvl="0">
      <w:start w:val="4"/>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669"/>
    <w:rsid w:val="000F1EEF"/>
    <w:rsid w:val="001D3453"/>
    <w:rsid w:val="0025295D"/>
    <w:rsid w:val="00323E3B"/>
    <w:rsid w:val="0038236C"/>
    <w:rsid w:val="00482CE2"/>
    <w:rsid w:val="004E276A"/>
    <w:rsid w:val="004E39BA"/>
    <w:rsid w:val="005C258D"/>
    <w:rsid w:val="005D735E"/>
    <w:rsid w:val="006B1268"/>
    <w:rsid w:val="007234C4"/>
    <w:rsid w:val="0074437C"/>
    <w:rsid w:val="008612C2"/>
    <w:rsid w:val="008D2117"/>
    <w:rsid w:val="009B7358"/>
    <w:rsid w:val="00A22C21"/>
    <w:rsid w:val="00A91729"/>
    <w:rsid w:val="00BE046A"/>
    <w:rsid w:val="00C0441E"/>
    <w:rsid w:val="00C41B2F"/>
    <w:rsid w:val="00CB5179"/>
    <w:rsid w:val="00CE1613"/>
    <w:rsid w:val="00CE679E"/>
    <w:rsid w:val="00D35528"/>
    <w:rsid w:val="00D96669"/>
    <w:rsid w:val="00E93759"/>
    <w:rsid w:val="00EC610E"/>
    <w:rsid w:val="00EF3248"/>
    <w:rsid w:val="00F078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37D06835-3109-4765-9CBC-9BD99D06D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6669"/>
    <w:pPr>
      <w:widowControl w:val="0"/>
      <w:jc w:val="both"/>
    </w:pPr>
  </w:style>
  <w:style w:type="paragraph" w:styleId="2">
    <w:name w:val="heading 2"/>
    <w:basedOn w:val="a"/>
    <w:link w:val="2Char"/>
    <w:uiPriority w:val="9"/>
    <w:qFormat/>
    <w:rsid w:val="00C41B2F"/>
    <w:pPr>
      <w:widowControl/>
      <w:jc w:val="left"/>
      <w:outlineLvl w:val="1"/>
    </w:pPr>
    <w:rPr>
      <w:rFonts w:ascii="inherit" w:eastAsia="宋体" w:hAnsi="inherit" w:cs="宋体"/>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C41B2F"/>
    <w:rPr>
      <w:rFonts w:ascii="inherit" w:eastAsia="宋体" w:hAnsi="inherit" w:cs="宋体"/>
      <w:kern w:val="0"/>
      <w:sz w:val="18"/>
      <w:szCs w:val="18"/>
    </w:rPr>
  </w:style>
  <w:style w:type="paragraph" w:styleId="a3">
    <w:name w:val="No Spacing"/>
    <w:uiPriority w:val="1"/>
    <w:qFormat/>
    <w:rsid w:val="00C41B2F"/>
    <w:pPr>
      <w:widowControl w:val="0"/>
      <w:jc w:val="both"/>
    </w:pPr>
  </w:style>
  <w:style w:type="paragraph" w:styleId="a4">
    <w:name w:val="Date"/>
    <w:basedOn w:val="a"/>
    <w:next w:val="a"/>
    <w:link w:val="Char"/>
    <w:uiPriority w:val="99"/>
    <w:semiHidden/>
    <w:unhideWhenUsed/>
    <w:rsid w:val="00C41B2F"/>
    <w:pPr>
      <w:ind w:leftChars="2500" w:left="100"/>
    </w:pPr>
  </w:style>
  <w:style w:type="character" w:customStyle="1" w:styleId="Char">
    <w:name w:val="日期 Char"/>
    <w:basedOn w:val="a0"/>
    <w:link w:val="a4"/>
    <w:uiPriority w:val="99"/>
    <w:semiHidden/>
    <w:rsid w:val="00C41B2F"/>
  </w:style>
  <w:style w:type="paragraph" w:styleId="a5">
    <w:name w:val="header"/>
    <w:basedOn w:val="a"/>
    <w:link w:val="Char0"/>
    <w:rsid w:val="00C41B2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0">
    <w:name w:val="页眉 Char"/>
    <w:basedOn w:val="a0"/>
    <w:link w:val="a5"/>
    <w:rsid w:val="00C41B2F"/>
    <w:rPr>
      <w:rFonts w:ascii="Times New Roman" w:eastAsia="宋体" w:hAnsi="Times New Roman" w:cs="Times New Roman"/>
      <w:sz w:val="18"/>
      <w:szCs w:val="18"/>
    </w:rPr>
  </w:style>
  <w:style w:type="paragraph" w:styleId="a6">
    <w:name w:val="footer"/>
    <w:basedOn w:val="a"/>
    <w:link w:val="Char1"/>
    <w:uiPriority w:val="99"/>
    <w:unhideWhenUsed/>
    <w:rsid w:val="00EC610E"/>
    <w:pPr>
      <w:tabs>
        <w:tab w:val="center" w:pos="4153"/>
        <w:tab w:val="right" w:pos="8306"/>
      </w:tabs>
      <w:snapToGrid w:val="0"/>
      <w:jc w:val="left"/>
    </w:pPr>
    <w:rPr>
      <w:sz w:val="18"/>
      <w:szCs w:val="18"/>
    </w:rPr>
  </w:style>
  <w:style w:type="character" w:customStyle="1" w:styleId="Char1">
    <w:name w:val="页脚 Char"/>
    <w:basedOn w:val="a0"/>
    <w:link w:val="a6"/>
    <w:uiPriority w:val="99"/>
    <w:rsid w:val="00EC610E"/>
    <w:rPr>
      <w:sz w:val="18"/>
      <w:szCs w:val="18"/>
    </w:rPr>
  </w:style>
  <w:style w:type="character" w:styleId="a7">
    <w:name w:val="page number"/>
    <w:basedOn w:val="a0"/>
    <w:rsid w:val="00CE1613"/>
    <w:rPr>
      <w:rFonts w:ascii="Verdana" w:hAnsi="Verdana"/>
      <w:kern w:val="0"/>
      <w:sz w:val="20"/>
      <w:szCs w:val="20"/>
      <w:lang w:eastAsia="en-US"/>
    </w:rPr>
  </w:style>
  <w:style w:type="paragraph" w:styleId="a8">
    <w:name w:val="Normal (Web)"/>
    <w:basedOn w:val="a"/>
    <w:rsid w:val="00CE1613"/>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rsid w:val="00CE1613"/>
    <w:pPr>
      <w:widowControl/>
    </w:pPr>
    <w:rPr>
      <w:rFonts w:ascii="Times New Roman" w:eastAsia="宋体" w:hAnsi="Times New Roman" w:cs="Times New Roman"/>
      <w:kern w:val="0"/>
      <w:szCs w:val="21"/>
    </w:rPr>
  </w:style>
  <w:style w:type="paragraph" w:styleId="a9">
    <w:name w:val="caption"/>
    <w:basedOn w:val="a"/>
    <w:next w:val="a"/>
    <w:uiPriority w:val="35"/>
    <w:unhideWhenUsed/>
    <w:qFormat/>
    <w:rsid w:val="005C258D"/>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7199685">
      <w:bodyDiv w:val="1"/>
      <w:marLeft w:val="0"/>
      <w:marRight w:val="0"/>
      <w:marTop w:val="0"/>
      <w:marBottom w:val="0"/>
      <w:divBdr>
        <w:top w:val="none" w:sz="0" w:space="0" w:color="auto"/>
        <w:left w:val="none" w:sz="0" w:space="0" w:color="auto"/>
        <w:bottom w:val="none" w:sz="0" w:space="0" w:color="auto"/>
        <w:right w:val="none" w:sz="0" w:space="0" w:color="auto"/>
      </w:divBdr>
      <w:divsChild>
        <w:div w:id="1227759414">
          <w:marLeft w:val="0"/>
          <w:marRight w:val="0"/>
          <w:marTop w:val="0"/>
          <w:marBottom w:val="0"/>
          <w:divBdr>
            <w:top w:val="none" w:sz="0" w:space="0" w:color="auto"/>
            <w:left w:val="none" w:sz="0" w:space="0" w:color="auto"/>
            <w:bottom w:val="none" w:sz="0" w:space="0" w:color="auto"/>
            <w:right w:val="none" w:sz="0" w:space="0" w:color="auto"/>
          </w:divBdr>
          <w:divsChild>
            <w:div w:id="1608078451">
              <w:marLeft w:val="0"/>
              <w:marRight w:val="0"/>
              <w:marTop w:val="300"/>
              <w:marBottom w:val="0"/>
              <w:divBdr>
                <w:top w:val="none" w:sz="0" w:space="0" w:color="auto"/>
                <w:left w:val="none" w:sz="0" w:space="0" w:color="auto"/>
                <w:bottom w:val="none" w:sz="0" w:space="0" w:color="auto"/>
                <w:right w:val="none" w:sz="0" w:space="0" w:color="auto"/>
              </w:divBdr>
            </w:div>
            <w:div w:id="1660117305">
              <w:marLeft w:val="0"/>
              <w:marRight w:val="0"/>
              <w:marTop w:val="0"/>
              <w:marBottom w:val="0"/>
              <w:divBdr>
                <w:top w:val="none" w:sz="0" w:space="0" w:color="auto"/>
                <w:left w:val="none" w:sz="0" w:space="0" w:color="auto"/>
                <w:bottom w:val="dashed" w:sz="6" w:space="11" w:color="BBBBBB"/>
                <w:right w:val="none" w:sz="0" w:space="0" w:color="auto"/>
              </w:divBdr>
            </w:div>
            <w:div w:id="2143568860">
              <w:marLeft w:val="0"/>
              <w:marRight w:val="0"/>
              <w:marTop w:val="0"/>
              <w:marBottom w:val="0"/>
              <w:divBdr>
                <w:top w:val="none" w:sz="0" w:space="0" w:color="auto"/>
                <w:left w:val="none" w:sz="0" w:space="0" w:color="auto"/>
                <w:bottom w:val="none" w:sz="0" w:space="0" w:color="auto"/>
                <w:right w:val="none" w:sz="0" w:space="0" w:color="auto"/>
              </w:divBdr>
              <w:divsChild>
                <w:div w:id="74674381">
                  <w:marLeft w:val="0"/>
                  <w:marRight w:val="0"/>
                  <w:marTop w:val="0"/>
                  <w:marBottom w:val="0"/>
                  <w:divBdr>
                    <w:top w:val="none" w:sz="0" w:space="0" w:color="auto"/>
                    <w:left w:val="none" w:sz="0" w:space="0" w:color="auto"/>
                    <w:bottom w:val="none" w:sz="0" w:space="0" w:color="auto"/>
                    <w:right w:val="none" w:sz="0" w:space="0" w:color="auto"/>
                  </w:divBdr>
                  <w:divsChild>
                    <w:div w:id="176595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yperlink" Target="http://www.hbsafety.cn/article/33/"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31"/>
      <c:rotY val="20"/>
      <c:depthPercent val="100"/>
      <c:rAngAx val="1"/>
    </c:view3D>
    <c:floor>
      <c:thickness val="0"/>
      <c:spPr>
        <a:solidFill>
          <a:srgbClr val="C0C0C0"/>
        </a:solidFill>
        <a:ln w="3175">
          <a:solidFill>
            <a:srgbClr val="000000"/>
          </a:solidFill>
          <a:prstDash val="solid"/>
        </a:ln>
      </c:spPr>
    </c:floor>
    <c:sideWall>
      <c:thickness val="0"/>
      <c:spPr>
        <a:solidFill>
          <a:srgbClr val="FFFFFF"/>
        </a:solidFill>
        <a:ln w="12700">
          <a:solidFill>
            <a:srgbClr val="FFFFFF"/>
          </a:solidFill>
          <a:prstDash val="solid"/>
        </a:ln>
      </c:spPr>
    </c:sideWall>
    <c:backWall>
      <c:thickness val="0"/>
      <c:spPr>
        <a:solidFill>
          <a:srgbClr val="FFFFFF"/>
        </a:solidFill>
        <a:ln w="12700">
          <a:solidFill>
            <a:srgbClr val="FFFFFF"/>
          </a:solidFill>
          <a:prstDash val="solid"/>
        </a:ln>
      </c:spPr>
    </c:backWall>
    <c:plotArea>
      <c:layout>
        <c:manualLayout>
          <c:layoutTarget val="inner"/>
          <c:xMode val="edge"/>
          <c:yMode val="edge"/>
          <c:x val="8.6979166666666663E-2"/>
          <c:y val="1.9161406672678089E-2"/>
          <c:w val="0.9287598944591029"/>
          <c:h val="0.52097902097902093"/>
        </c:manualLayout>
      </c:layout>
      <c:bar3DChart>
        <c:barDir val="col"/>
        <c:grouping val="clustered"/>
        <c:varyColors val="0"/>
        <c:ser>
          <c:idx val="0"/>
          <c:order val="0"/>
          <c:tx>
            <c:strRef>
              <c:f>Sheet1!$A$2</c:f>
              <c:strCache>
                <c:ptCount val="1"/>
                <c:pt idx="0">
                  <c:v>2012</c:v>
                </c:pt>
              </c:strCache>
            </c:strRef>
          </c:tx>
          <c:spPr>
            <a:solidFill>
              <a:srgbClr val="9999FF"/>
            </a:solidFill>
            <a:ln w="12700">
              <a:solidFill>
                <a:srgbClr val="000000"/>
              </a:solidFill>
              <a:prstDash val="solid"/>
            </a:ln>
          </c:spPr>
          <c:invertIfNegative val="0"/>
          <c:dLbls>
            <c:dLbl>
              <c:idx val="0"/>
              <c:layout>
                <c:manualLayout>
                  <c:x val="2.4277631986717341E-2"/>
                  <c:y val="-5.1200525864513416E-2"/>
                </c:manualLayout>
              </c:layout>
              <c:spPr>
                <a:noFill/>
                <a:ln w="25400">
                  <a:noFill/>
                </a:ln>
              </c:spPr>
              <c:txPr>
                <a:bodyPr/>
                <a:lstStyle/>
                <a:p>
                  <a:pPr>
                    <a:defRPr sz="8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7.0595461620232558E-3"/>
                  <c:y val="-7.0896587774245873E-2"/>
                </c:manualLayout>
              </c:layout>
              <c:spPr>
                <a:noFill/>
                <a:ln w="25400">
                  <a:noFill/>
                </a:ln>
              </c:spPr>
              <c:txPr>
                <a:bodyPr/>
                <a:lstStyle/>
                <a:p>
                  <a:pPr>
                    <a:defRPr sz="8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2429723803488733E-3"/>
                  <c:y val="-3.767121740325946E-2"/>
                </c:manualLayout>
              </c:layout>
              <c:spPr>
                <a:noFill/>
                <a:ln w="25400">
                  <a:noFill/>
                </a:ln>
              </c:spPr>
              <c:txPr>
                <a:bodyPr/>
                <a:lstStyle/>
                <a:p>
                  <a:pPr>
                    <a:defRPr sz="8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1.1277011743502485E-2"/>
                  <c:y val="-6.382642796877086E-2"/>
                </c:manualLayout>
              </c:layout>
              <c:spPr>
                <a:noFill/>
                <a:ln w="25400">
                  <a:noFill/>
                </a:ln>
              </c:spPr>
              <c:txPr>
                <a:bodyPr/>
                <a:lstStyle/>
                <a:p>
                  <a:pPr>
                    <a:defRPr sz="8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1.3983360918935261E-2"/>
                  <c:y val="-5.5379731704433721E-2"/>
                </c:manualLayout>
              </c:layout>
              <c:spPr>
                <a:noFill/>
                <a:ln w="25400">
                  <a:noFill/>
                </a:ln>
              </c:spPr>
              <c:txPr>
                <a:bodyPr/>
                <a:lstStyle/>
                <a:p>
                  <a:pPr>
                    <a:defRPr sz="8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1.9059479939265489E-2"/>
                  <c:y val="-6.3169946360449314E-2"/>
                </c:manualLayout>
              </c:layout>
              <c:spPr>
                <a:noFill/>
                <a:ln w="25400">
                  <a:noFill/>
                </a:ln>
              </c:spPr>
              <c:txPr>
                <a:bodyPr/>
                <a:lstStyle/>
                <a:p>
                  <a:pPr>
                    <a:defRPr sz="8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2.2547858566656864E-2"/>
                  <c:y val="-6.8613298475627527E-2"/>
                </c:manualLayout>
              </c:layout>
              <c:spPr>
                <a:noFill/>
                <a:ln w="25400">
                  <a:noFill/>
                </a:ln>
              </c:spPr>
              <c:txPr>
                <a:bodyPr/>
                <a:lstStyle/>
                <a:p>
                  <a:pPr>
                    <a:defRPr sz="8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5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压力容器</c:v>
                </c:pt>
                <c:pt idx="1">
                  <c:v>电梯</c:v>
                </c:pt>
                <c:pt idx="2">
                  <c:v>起重机械</c:v>
                </c:pt>
                <c:pt idx="3">
                  <c:v>场（厂）内专用机动车辆</c:v>
                </c:pt>
                <c:pt idx="4">
                  <c:v>锅炉</c:v>
                </c:pt>
                <c:pt idx="5">
                  <c:v>大型游乐设施</c:v>
                </c:pt>
                <c:pt idx="6">
                  <c:v>客运索道</c:v>
                </c:pt>
              </c:strCache>
            </c:strRef>
          </c:cat>
          <c:val>
            <c:numRef>
              <c:f>Sheet1!$B$2:$H$2</c:f>
              <c:numCache>
                <c:formatCode>General</c:formatCode>
                <c:ptCount val="7"/>
                <c:pt idx="0">
                  <c:v>28036</c:v>
                </c:pt>
                <c:pt idx="1">
                  <c:v>18159</c:v>
                </c:pt>
                <c:pt idx="2">
                  <c:v>15727</c:v>
                </c:pt>
                <c:pt idx="3">
                  <c:v>4727</c:v>
                </c:pt>
                <c:pt idx="4">
                  <c:v>5055</c:v>
                </c:pt>
                <c:pt idx="5">
                  <c:v>137</c:v>
                </c:pt>
                <c:pt idx="6">
                  <c:v>8</c:v>
                </c:pt>
              </c:numCache>
            </c:numRef>
          </c:val>
        </c:ser>
        <c:ser>
          <c:idx val="1"/>
          <c:order val="1"/>
          <c:tx>
            <c:strRef>
              <c:f>Sheet1!$A$3</c:f>
              <c:strCache>
                <c:ptCount val="1"/>
                <c:pt idx="0">
                  <c:v>2013</c:v>
                </c:pt>
              </c:strCache>
            </c:strRef>
          </c:tx>
          <c:spPr>
            <a:solidFill>
              <a:srgbClr val="993366"/>
            </a:solidFill>
            <a:ln w="12700">
              <a:solidFill>
                <a:srgbClr val="000000"/>
              </a:solidFill>
              <a:prstDash val="solid"/>
            </a:ln>
          </c:spPr>
          <c:invertIfNegative val="1"/>
          <c:dLbls>
            <c:dLbl>
              <c:idx val="0"/>
              <c:layout>
                <c:manualLayout>
                  <c:x val="4.5898061750773878E-2"/>
                  <c:y val="-4.4064565965902913E-2"/>
                </c:manualLayout>
              </c:layout>
              <c:spPr>
                <a:noFill/>
                <a:ln w="25400">
                  <a:noFill/>
                </a:ln>
              </c:spPr>
              <c:txPr>
                <a:bodyPr/>
                <a:lstStyle/>
                <a:p>
                  <a:pPr>
                    <a:defRPr sz="8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1"/>
              <c:layout>
                <c:manualLayout>
                  <c:x val="2.8679975926079793E-2"/>
                  <c:y val="-4.6255467018302215E-2"/>
                </c:manualLayout>
              </c:layout>
              <c:spPr>
                <a:noFill/>
                <a:ln w="25400">
                  <a:noFill/>
                </a:ln>
              </c:spPr>
              <c:txPr>
                <a:bodyPr/>
                <a:lstStyle/>
                <a:p>
                  <a:pPr>
                    <a:defRPr sz="8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2"/>
              <c:layout>
                <c:manualLayout>
                  <c:x val="2.4654502238588838E-2"/>
                  <c:y val="-4.6916365090147238E-2"/>
                </c:manualLayout>
              </c:layout>
              <c:spPr>
                <a:noFill/>
                <a:ln w="25400">
                  <a:noFill/>
                </a:ln>
              </c:spPr>
              <c:txPr>
                <a:bodyPr/>
                <a:lstStyle/>
                <a:p>
                  <a:pPr>
                    <a:defRPr sz="8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3"/>
              <c:layout>
                <c:manualLayout>
                  <c:x val="6.6027166191132691E-3"/>
                  <c:y val="-5.8169419810750966E-2"/>
                </c:manualLayout>
              </c:layout>
              <c:spPr>
                <a:noFill/>
                <a:ln w="25400">
                  <a:noFill/>
                </a:ln>
              </c:spPr>
              <c:txPr>
                <a:bodyPr/>
                <a:lstStyle/>
                <a:p>
                  <a:pPr>
                    <a:defRPr sz="8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4"/>
              <c:layout>
                <c:manualLayout>
                  <c:x val="1.2578450162397115E-3"/>
                  <c:y val="-6.4201370578329309E-2"/>
                </c:manualLayout>
              </c:layout>
              <c:spPr>
                <a:noFill/>
                <a:ln w="25400">
                  <a:noFill/>
                </a:ln>
              </c:spPr>
              <c:txPr>
                <a:bodyPr/>
                <a:lstStyle/>
                <a:p>
                  <a:pPr>
                    <a:defRPr sz="8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5"/>
              <c:layout>
                <c:manualLayout>
                  <c:x val="-1.2836020260412639E-2"/>
                  <c:y val="-7.6288270493520327E-2"/>
                </c:manualLayout>
              </c:layout>
              <c:spPr>
                <a:noFill/>
                <a:ln w="25400">
                  <a:noFill/>
                </a:ln>
              </c:spPr>
              <c:txPr>
                <a:bodyPr/>
                <a:lstStyle/>
                <a:p>
                  <a:pPr>
                    <a:defRPr sz="8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dLbl>
              <c:idx val="6"/>
              <c:layout>
                <c:manualLayout>
                  <c:x val="-2.6444597521450897E-2"/>
                  <c:y val="-6.8047363058474752E-2"/>
                </c:manualLayout>
              </c:layout>
              <c:spPr>
                <a:noFill/>
                <a:ln w="25400">
                  <a:noFill/>
                </a:ln>
              </c:spPr>
              <c:txPr>
                <a:bodyPr/>
                <a:lstStyle/>
                <a:p>
                  <a:pPr>
                    <a:defRPr sz="8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wrap="square" lIns="38100" tIns="19050" rIns="38100" bIns="19050" anchor="ctr">
                <a:spAutoFit/>
              </a:bodyPr>
              <a:lstStyle/>
              <a:p>
                <a:pPr>
                  <a:defRPr sz="800" b="0" i="0" u="none" strike="noStrike" baseline="0">
                    <a:solidFill>
                      <a:srgbClr val="000000"/>
                    </a:solidFill>
                    <a:latin typeface="宋体"/>
                    <a:ea typeface="宋体"/>
                    <a:cs typeface="宋体"/>
                  </a:defRPr>
                </a:pPr>
                <a:endParaRPr lang="zh-CN"/>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Sheet1!$B$1:$H$1</c:f>
              <c:strCache>
                <c:ptCount val="7"/>
                <c:pt idx="0">
                  <c:v>压力容器</c:v>
                </c:pt>
                <c:pt idx="1">
                  <c:v>电梯</c:v>
                </c:pt>
                <c:pt idx="2">
                  <c:v>起重机械</c:v>
                </c:pt>
                <c:pt idx="3">
                  <c:v>场（厂）内专用机动车辆</c:v>
                </c:pt>
                <c:pt idx="4">
                  <c:v>锅炉</c:v>
                </c:pt>
                <c:pt idx="5">
                  <c:v>大型游乐设施</c:v>
                </c:pt>
                <c:pt idx="6">
                  <c:v>客运索道</c:v>
                </c:pt>
              </c:strCache>
            </c:strRef>
          </c:cat>
          <c:val>
            <c:numRef>
              <c:f>Sheet1!$B$3:$H$3</c:f>
              <c:numCache>
                <c:formatCode>General</c:formatCode>
                <c:ptCount val="7"/>
                <c:pt idx="0">
                  <c:v>28703</c:v>
                </c:pt>
                <c:pt idx="1">
                  <c:v>23461</c:v>
                </c:pt>
                <c:pt idx="2">
                  <c:v>17162</c:v>
                </c:pt>
                <c:pt idx="3">
                  <c:v>5296</c:v>
                </c:pt>
                <c:pt idx="4">
                  <c:v>5128</c:v>
                </c:pt>
                <c:pt idx="5">
                  <c:v>157</c:v>
                </c:pt>
                <c:pt idx="6">
                  <c:v>8</c:v>
                </c:pt>
              </c:numCache>
            </c:numRef>
          </c:val>
          <c:extLst>
            <c:ext xmlns:c14="http://schemas.microsoft.com/office/drawing/2007/8/2/chart" uri="{6F2FDCE9-48DA-4B69-8628-5D25D57E5C99}">
              <c14:invertSolidFillFmt>
                <c14:spPr xmlns:c14="http://schemas.microsoft.com/office/drawing/2007/8/2/chart">
                  <a:solidFill>
                    <a:srgbClr val="FFFFFF"/>
                  </a:solidFill>
                  <a:ln w="12700">
                    <a:solidFill>
                      <a:srgbClr val="000000"/>
                    </a:solidFill>
                    <a:prstDash val="solid"/>
                  </a:ln>
                </c14:spPr>
              </c14:invertSolidFillFmt>
            </c:ext>
          </c:extLst>
        </c:ser>
        <c:ser>
          <c:idx val="2"/>
          <c:order val="2"/>
          <c:tx>
            <c:strRef>
              <c:f>Sheet1!$A$5</c:f>
              <c:strCache>
                <c:ptCount val="1"/>
                <c:pt idx="0">
                  <c:v>增长率</c:v>
                </c:pt>
              </c:strCache>
            </c:strRef>
          </c:tx>
          <c:spPr>
            <a:noFill/>
            <a:ln w="25400">
              <a:noFill/>
            </a:ln>
          </c:spPr>
          <c:invertIfNegative val="0"/>
          <c:dLbls>
            <c:delete val="1"/>
          </c:dLbls>
          <c:cat>
            <c:strRef>
              <c:f>Sheet1!$B$1:$H$1</c:f>
              <c:strCache>
                <c:ptCount val="7"/>
                <c:pt idx="0">
                  <c:v>压力容器</c:v>
                </c:pt>
                <c:pt idx="1">
                  <c:v>电梯</c:v>
                </c:pt>
                <c:pt idx="2">
                  <c:v>起重机械</c:v>
                </c:pt>
                <c:pt idx="3">
                  <c:v>场（厂）内专用机动车辆</c:v>
                </c:pt>
                <c:pt idx="4">
                  <c:v>锅炉</c:v>
                </c:pt>
                <c:pt idx="5">
                  <c:v>大型游乐设施</c:v>
                </c:pt>
                <c:pt idx="6">
                  <c:v>客运索道</c:v>
                </c:pt>
              </c:strCache>
            </c:strRef>
          </c:cat>
          <c:val>
            <c:numRef>
              <c:f>Sheet1!$B$5:$H$5</c:f>
              <c:numCache>
                <c:formatCode>0.00%</c:formatCode>
                <c:ptCount val="7"/>
                <c:pt idx="0">
                  <c:v>2.3800000000000002E-2</c:v>
                </c:pt>
                <c:pt idx="1">
                  <c:v>0.29199999999999998</c:v>
                </c:pt>
                <c:pt idx="2">
                  <c:v>9.1200000000000003E-2</c:v>
                </c:pt>
                <c:pt idx="3">
                  <c:v>0.12039999999999999</c:v>
                </c:pt>
                <c:pt idx="4">
                  <c:v>1.44E-2</c:v>
                </c:pt>
                <c:pt idx="5">
                  <c:v>0.14599999999999999</c:v>
                </c:pt>
                <c:pt idx="6">
                  <c:v>0</c:v>
                </c:pt>
              </c:numCache>
            </c:numRef>
          </c:val>
        </c:ser>
        <c:dLbls>
          <c:showLegendKey val="0"/>
          <c:showVal val="1"/>
          <c:showCatName val="0"/>
          <c:showSerName val="0"/>
          <c:showPercent val="0"/>
          <c:showBubbleSize val="0"/>
        </c:dLbls>
        <c:gapWidth val="150"/>
        <c:gapDepth val="100"/>
        <c:shape val="box"/>
        <c:axId val="562543320"/>
        <c:axId val="562543712"/>
        <c:axId val="0"/>
      </c:bar3DChart>
      <c:catAx>
        <c:axId val="562543320"/>
        <c:scaling>
          <c:orientation val="minMax"/>
        </c:scaling>
        <c:delete val="0"/>
        <c:axPos val="b"/>
        <c:numFmt formatCode="General" sourceLinked="1"/>
        <c:majorTickMark val="in"/>
        <c:minorTickMark val="none"/>
        <c:tickLblPos val="low"/>
        <c:spPr>
          <a:ln w="3175">
            <a:solidFill>
              <a:srgbClr val="000000"/>
            </a:solidFill>
            <a:prstDash val="solid"/>
          </a:ln>
        </c:spPr>
        <c:txPr>
          <a:bodyPr rot="0" vert="horz"/>
          <a:lstStyle/>
          <a:p>
            <a:pPr>
              <a:defRPr sz="1425" b="0" i="0" u="none" strike="noStrike" baseline="0">
                <a:solidFill>
                  <a:srgbClr val="000000"/>
                </a:solidFill>
                <a:latin typeface="宋体"/>
                <a:ea typeface="宋体"/>
                <a:cs typeface="宋体"/>
              </a:defRPr>
            </a:pPr>
            <a:endParaRPr lang="zh-CN"/>
          </a:p>
        </c:txPr>
        <c:crossAx val="562543712"/>
        <c:crosses val="autoZero"/>
        <c:auto val="1"/>
        <c:lblAlgn val="ctr"/>
        <c:lblOffset val="100"/>
        <c:tickLblSkip val="4"/>
        <c:tickMarkSkip val="1"/>
        <c:noMultiLvlLbl val="0"/>
      </c:catAx>
      <c:valAx>
        <c:axId val="562543712"/>
        <c:scaling>
          <c:orientation val="minMax"/>
          <c:max val="35000"/>
        </c:scaling>
        <c:delete val="0"/>
        <c:axPos val="l"/>
        <c:majorGridlines>
          <c:spPr>
            <a:ln w="3175">
              <a:solidFill>
                <a:srgbClr val="000000"/>
              </a:solidFill>
              <a:prstDash val="solid"/>
            </a:ln>
          </c:spPr>
        </c:majorGridlines>
        <c:numFmt formatCode="General" sourceLinked="1"/>
        <c:majorTickMark val="in"/>
        <c:minorTickMark val="none"/>
        <c:tickLblPos val="nextTo"/>
        <c:spPr>
          <a:ln w="3175">
            <a:solidFill>
              <a:srgbClr val="000000"/>
            </a:solidFill>
            <a:prstDash val="solid"/>
          </a:ln>
        </c:spPr>
        <c:txPr>
          <a:bodyPr rot="0" vert="horz"/>
          <a:lstStyle/>
          <a:p>
            <a:pPr>
              <a:defRPr sz="850" b="0" i="0" u="none" strike="noStrike" baseline="0">
                <a:solidFill>
                  <a:srgbClr val="000000"/>
                </a:solidFill>
                <a:latin typeface="宋体"/>
                <a:ea typeface="宋体"/>
                <a:cs typeface="宋体"/>
              </a:defRPr>
            </a:pPr>
            <a:endParaRPr lang="zh-CN"/>
          </a:p>
        </c:txPr>
        <c:crossAx val="562543320"/>
        <c:crosses val="autoZero"/>
        <c:crossBetween val="between"/>
      </c:valAx>
      <c:dTable>
        <c:showHorzBorder val="1"/>
        <c:showVertBorder val="1"/>
        <c:showOutline val="1"/>
        <c:showKeys val="1"/>
        <c:spPr>
          <a:ln w="3175">
            <a:solidFill>
              <a:srgbClr val="000000"/>
            </a:solidFill>
            <a:prstDash val="solid"/>
          </a:ln>
        </c:spPr>
        <c:txPr>
          <a:bodyPr/>
          <a:lstStyle/>
          <a:p>
            <a:pPr rtl="0">
              <a:defRPr sz="900" b="0" i="0" u="none" strike="noStrike" baseline="0">
                <a:solidFill>
                  <a:srgbClr val="000000"/>
                </a:solidFill>
                <a:latin typeface="宋体"/>
                <a:ea typeface="宋体"/>
                <a:cs typeface="宋体"/>
              </a:defRPr>
            </a:pPr>
            <a:endParaRPr lang="zh-CN"/>
          </a:p>
        </c:txPr>
      </c:dTable>
      <c:spPr>
        <a:noFill/>
        <a:ln w="25400">
          <a:noFill/>
        </a:ln>
      </c:spPr>
    </c:plotArea>
    <c:plotVisOnly val="1"/>
    <c:dispBlanksAs val="gap"/>
    <c:showDLblsOverMax val="0"/>
  </c:chart>
  <c:spPr>
    <a:noFill/>
    <a:ln>
      <a:noFill/>
    </a:ln>
  </c:spPr>
  <c:txPr>
    <a:bodyPr/>
    <a:lstStyle/>
    <a:p>
      <a:pPr>
        <a:defRPr sz="1425" b="0" i="0" u="none" strike="noStrike" baseline="0">
          <a:solidFill>
            <a:srgbClr val="000000"/>
          </a:solidFill>
          <a:latin typeface="宋体"/>
          <a:ea typeface="宋体"/>
          <a:cs typeface="宋体"/>
        </a:defRPr>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0" i="0" u="none" strike="noStrike" baseline="0">
                <a:solidFill>
                  <a:srgbClr val="000000"/>
                </a:solidFill>
                <a:latin typeface="宋体"/>
                <a:ea typeface="宋体"/>
                <a:cs typeface="宋体"/>
              </a:defRPr>
            </a:pPr>
            <a:r>
              <a:rPr lang="zh-CN" altLang="en-US" sz="1200"/>
              <a:t>图一、</a:t>
            </a:r>
            <a:r>
              <a:rPr lang="en-US" altLang="zh-CN" sz="1200"/>
              <a:t>2013</a:t>
            </a:r>
            <a:r>
              <a:rPr lang="zh-CN" altLang="en-US" sz="1200"/>
              <a:t>年全市特种设备类别、数量、比例图</a:t>
            </a:r>
          </a:p>
        </c:rich>
      </c:tx>
      <c:layout>
        <c:manualLayout>
          <c:xMode val="edge"/>
          <c:yMode val="edge"/>
          <c:x val="0.17419245428686003"/>
          <c:y val="0.91300148899074063"/>
        </c:manualLayout>
      </c:layout>
      <c:overlay val="0"/>
      <c:spPr>
        <a:noFill/>
        <a:ln w="25400">
          <a:noFill/>
        </a:ln>
      </c:spPr>
    </c:title>
    <c:autoTitleDeleted val="0"/>
    <c:plotArea>
      <c:layout>
        <c:manualLayout>
          <c:layoutTarget val="inner"/>
          <c:xMode val="edge"/>
          <c:yMode val="edge"/>
          <c:x val="0.30425299890948748"/>
          <c:y val="0.14016736401673641"/>
          <c:w val="0.36095965103598693"/>
          <c:h val="0.69246861924686187"/>
        </c:manualLayout>
      </c:layout>
      <c:pieChart>
        <c:varyColors val="1"/>
        <c:ser>
          <c:idx val="0"/>
          <c:order val="0"/>
          <c:tx>
            <c:strRef>
              <c:f>Sheet1!$A$2</c:f>
              <c:strCache>
                <c:ptCount val="1"/>
              </c:strCache>
            </c:strRef>
          </c:tx>
          <c:spPr>
            <a:solidFill>
              <a:srgbClr val="9999FF"/>
            </a:solidFill>
            <a:ln w="25400">
              <a:noFill/>
            </a:ln>
          </c:spPr>
          <c:dPt>
            <c:idx val="0"/>
            <c:bubble3D val="0"/>
          </c:dPt>
          <c:dPt>
            <c:idx val="1"/>
            <c:bubble3D val="0"/>
            <c:spPr>
              <a:solidFill>
                <a:srgbClr val="993366"/>
              </a:solidFill>
              <a:ln w="25400">
                <a:noFill/>
              </a:ln>
            </c:spPr>
          </c:dPt>
          <c:dPt>
            <c:idx val="2"/>
            <c:bubble3D val="0"/>
            <c:spPr>
              <a:solidFill>
                <a:srgbClr val="FFFFCC"/>
              </a:solidFill>
              <a:ln w="25400">
                <a:noFill/>
              </a:ln>
            </c:spPr>
          </c:dPt>
          <c:dPt>
            <c:idx val="3"/>
            <c:bubble3D val="0"/>
            <c:spPr>
              <a:solidFill>
                <a:srgbClr val="CCFFFF"/>
              </a:solidFill>
              <a:ln w="25400">
                <a:noFill/>
              </a:ln>
            </c:spPr>
          </c:dPt>
          <c:dPt>
            <c:idx val="4"/>
            <c:bubble3D val="0"/>
            <c:spPr>
              <a:solidFill>
                <a:srgbClr val="660066"/>
              </a:solidFill>
              <a:ln w="25400">
                <a:noFill/>
              </a:ln>
            </c:spPr>
          </c:dPt>
          <c:dPt>
            <c:idx val="5"/>
            <c:bubble3D val="0"/>
            <c:spPr>
              <a:solidFill>
                <a:srgbClr val="FF8080"/>
              </a:solidFill>
              <a:ln w="25400">
                <a:noFill/>
              </a:ln>
            </c:spPr>
          </c:dPt>
          <c:dPt>
            <c:idx val="6"/>
            <c:bubble3D val="0"/>
            <c:spPr>
              <a:solidFill>
                <a:srgbClr val="0066CC"/>
              </a:solidFill>
              <a:ln w="25400">
                <a:noFill/>
              </a:ln>
            </c:spPr>
          </c:dPt>
          <c:dLbls>
            <c:dLbl>
              <c:idx val="0"/>
              <c:layout>
                <c:manualLayout>
                  <c:x val="0.20260001048960363"/>
                  <c:y val="0.39388541857165132"/>
                </c:manualLayout>
              </c:layout>
              <c:numFmt formatCode="0.00%" sourceLinked="0"/>
              <c:spPr>
                <a:noFill/>
                <a:ln w="25400">
                  <a:noFill/>
                </a:ln>
              </c:spPr>
              <c:txPr>
                <a:bodyPr/>
                <a:lstStyle/>
                <a:p>
                  <a:pPr>
                    <a:defRPr sz="1050" b="0" i="0" u="none" strike="noStrike" baseline="0">
                      <a:solidFill>
                        <a:srgbClr val="000000"/>
                      </a:solidFill>
                      <a:latin typeface="宋体"/>
                      <a:ea typeface="宋体"/>
                      <a:cs typeface="宋体"/>
                    </a:defRPr>
                  </a:pPr>
                  <a:endParaRPr lang="zh-CN"/>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1"/>
              <c:layout>
                <c:manualLayout>
                  <c:x val="0.14426882134826358"/>
                  <c:y val="2.6740538101343247E-2"/>
                </c:manualLayout>
              </c:layout>
              <c:numFmt formatCode="0.00%" sourceLinked="0"/>
              <c:spPr>
                <a:noFill/>
                <a:ln w="25400">
                  <a:noFill/>
                </a:ln>
              </c:spPr>
              <c:txPr>
                <a:bodyPr/>
                <a:lstStyle/>
                <a:p>
                  <a:pPr>
                    <a:defRPr sz="1050" b="0" i="0" u="none" strike="noStrike" baseline="0">
                      <a:solidFill>
                        <a:srgbClr val="000000"/>
                      </a:solidFill>
                      <a:latin typeface="宋体"/>
                      <a:ea typeface="宋体"/>
                      <a:cs typeface="宋体"/>
                    </a:defRPr>
                  </a:pPr>
                  <a:endParaRPr lang="zh-CN"/>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2"/>
              <c:numFmt formatCode="0.00%" sourceLinked="0"/>
              <c:spPr>
                <a:noFill/>
                <a:ln w="25400">
                  <a:noFill/>
                </a:ln>
              </c:spPr>
              <c:txPr>
                <a:bodyPr/>
                <a:lstStyle/>
                <a:p>
                  <a:pPr>
                    <a:defRPr sz="1050" b="0" i="0" u="none" strike="noStrike" baseline="0">
                      <a:solidFill>
                        <a:srgbClr val="000000"/>
                      </a:solidFill>
                      <a:latin typeface="宋体"/>
                      <a:ea typeface="宋体"/>
                      <a:cs typeface="宋体"/>
                    </a:defRPr>
                  </a:pPr>
                  <a:endParaRPr lang="zh-CN"/>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3"/>
              <c:layout>
                <c:manualLayout>
                  <c:x val="-0.19580833273994008"/>
                  <c:y val="0.41213389121338906"/>
                </c:manualLayout>
              </c:layout>
              <c:numFmt formatCode="0.00%" sourceLinked="0"/>
              <c:spPr>
                <a:noFill/>
                <a:ln w="25400">
                  <a:noFill/>
                </a:ln>
              </c:spPr>
              <c:txPr>
                <a:bodyPr/>
                <a:lstStyle/>
                <a:p>
                  <a:pPr>
                    <a:defRPr sz="1050" b="0" i="0" u="none" strike="noStrike" baseline="0">
                      <a:solidFill>
                        <a:srgbClr val="000000"/>
                      </a:solidFill>
                      <a:latin typeface="宋体"/>
                      <a:ea typeface="宋体"/>
                      <a:cs typeface="宋体"/>
                    </a:defRPr>
                  </a:pPr>
                  <a:endParaRPr lang="zh-CN"/>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4"/>
              <c:layout>
                <c:manualLayout>
                  <c:x val="-0.35666942825598846"/>
                  <c:y val="0.17154811715481172"/>
                </c:manualLayout>
              </c:layout>
              <c:numFmt formatCode="0.00%" sourceLinked="0"/>
              <c:spPr>
                <a:noFill/>
                <a:ln w="25400">
                  <a:noFill/>
                </a:ln>
              </c:spPr>
              <c:txPr>
                <a:bodyPr/>
                <a:lstStyle/>
                <a:p>
                  <a:pPr>
                    <a:defRPr sz="1050" b="0" i="0" u="none" strike="noStrike" baseline="0">
                      <a:solidFill>
                        <a:srgbClr val="000000"/>
                      </a:solidFill>
                      <a:latin typeface="宋体"/>
                      <a:ea typeface="宋体"/>
                      <a:cs typeface="宋体"/>
                    </a:defRPr>
                  </a:pPr>
                  <a:endParaRPr lang="zh-CN"/>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5"/>
              <c:layout>
                <c:manualLayout>
                  <c:x val="-0.36380332575039259"/>
                  <c:y val="8.3682008368200778E-3"/>
                </c:manualLayout>
              </c:layout>
              <c:numFmt formatCode="0.00%" sourceLinked="0"/>
              <c:spPr>
                <a:noFill/>
                <a:ln w="25400">
                  <a:noFill/>
                </a:ln>
              </c:spPr>
              <c:txPr>
                <a:bodyPr/>
                <a:lstStyle/>
                <a:p>
                  <a:pPr>
                    <a:defRPr sz="1050" b="0" i="0" u="none" strike="noStrike" baseline="0">
                      <a:solidFill>
                        <a:srgbClr val="000000"/>
                      </a:solidFill>
                      <a:latin typeface="宋体"/>
                      <a:ea typeface="宋体"/>
                      <a:cs typeface="宋体"/>
                    </a:defRPr>
                  </a:pPr>
                  <a:endParaRPr lang="zh-CN"/>
                </a:p>
              </c:txPr>
              <c:dLblPos val="bestFit"/>
              <c:showLegendKey val="0"/>
              <c:showVal val="1"/>
              <c:showCatName val="1"/>
              <c:showSerName val="0"/>
              <c:showPercent val="1"/>
              <c:showBubbleSize val="0"/>
              <c:separator>, </c:separator>
              <c:extLst>
                <c:ext xmlns:c15="http://schemas.microsoft.com/office/drawing/2012/chart" uri="{CE6537A1-D6FC-4f65-9D91-7224C49458BB}"/>
              </c:extLst>
            </c:dLbl>
            <c:dLbl>
              <c:idx val="6"/>
              <c:layout>
                <c:manualLayout>
                  <c:x val="0.32252590041360862"/>
                  <c:y val="0.10460251046025104"/>
                </c:manualLayout>
              </c:layout>
              <c:numFmt formatCode="0.00%" sourceLinked="0"/>
              <c:spPr>
                <a:noFill/>
                <a:ln w="25400">
                  <a:noFill/>
                </a:ln>
              </c:spPr>
              <c:txPr>
                <a:bodyPr/>
                <a:lstStyle/>
                <a:p>
                  <a:pPr>
                    <a:defRPr sz="1050" b="0" i="0" u="none" strike="noStrike" baseline="0">
                      <a:solidFill>
                        <a:srgbClr val="000000"/>
                      </a:solidFill>
                      <a:latin typeface="宋体"/>
                      <a:ea typeface="宋体"/>
                      <a:cs typeface="宋体"/>
                    </a:defRPr>
                  </a:pPr>
                  <a:endParaRPr lang="zh-CN"/>
                </a:p>
              </c:txPr>
              <c:dLblPos val="bestFit"/>
              <c:showLegendKey val="0"/>
              <c:showVal val="1"/>
              <c:showCatName val="1"/>
              <c:showSerName val="0"/>
              <c:showPercent val="1"/>
              <c:showBubbleSize val="0"/>
              <c:separator>, </c:separator>
              <c:extLst>
                <c:ext xmlns:c15="http://schemas.microsoft.com/office/drawing/2012/chart" uri="{CE6537A1-D6FC-4f65-9D91-7224C49458BB}"/>
              </c:extLst>
            </c:dLbl>
            <c:numFmt formatCode="0.00%" sourceLinked="0"/>
            <c:spPr>
              <a:noFill/>
              <a:ln w="25400">
                <a:noFill/>
              </a:ln>
            </c:spPr>
            <c:txPr>
              <a:bodyPr wrap="square" lIns="38100" tIns="19050" rIns="38100" bIns="19050" anchor="ctr">
                <a:spAutoFit/>
              </a:bodyPr>
              <a:lstStyle/>
              <a:p>
                <a:pPr>
                  <a:defRPr sz="1050" b="0" i="0" u="none" strike="noStrike" baseline="0">
                    <a:solidFill>
                      <a:srgbClr val="000000"/>
                    </a:solidFill>
                    <a:latin typeface="宋体"/>
                    <a:ea typeface="宋体"/>
                    <a:cs typeface="宋体"/>
                  </a:defRPr>
                </a:pPr>
                <a:endParaRPr lang="zh-CN"/>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Sheet1!$B$1:$H$1</c:f>
              <c:strCache>
                <c:ptCount val="7"/>
                <c:pt idx="0">
                  <c:v>锅炉</c:v>
                </c:pt>
                <c:pt idx="1">
                  <c:v>压力容器</c:v>
                </c:pt>
                <c:pt idx="2">
                  <c:v>电梯</c:v>
                </c:pt>
                <c:pt idx="3">
                  <c:v>起重机械</c:v>
                </c:pt>
                <c:pt idx="4">
                  <c:v>客运索道</c:v>
                </c:pt>
                <c:pt idx="5">
                  <c:v>大型游乐设施</c:v>
                </c:pt>
                <c:pt idx="6">
                  <c:v>场（厂）内专用机动车辆</c:v>
                </c:pt>
              </c:strCache>
            </c:strRef>
          </c:cat>
          <c:val>
            <c:numRef>
              <c:f>Sheet1!$B$2:$H$2</c:f>
              <c:numCache>
                <c:formatCode>General</c:formatCode>
                <c:ptCount val="7"/>
                <c:pt idx="0">
                  <c:v>5128</c:v>
                </c:pt>
                <c:pt idx="1">
                  <c:v>28703</c:v>
                </c:pt>
                <c:pt idx="2">
                  <c:v>23461</c:v>
                </c:pt>
                <c:pt idx="3">
                  <c:v>17162</c:v>
                </c:pt>
                <c:pt idx="4">
                  <c:v>8</c:v>
                </c:pt>
                <c:pt idx="5">
                  <c:v>157</c:v>
                </c:pt>
                <c:pt idx="6">
                  <c:v>5296</c:v>
                </c:pt>
              </c:numCache>
            </c:numRef>
          </c:val>
        </c:ser>
        <c:ser>
          <c:idx val="1"/>
          <c:order val="1"/>
          <c:tx>
            <c:strRef>
              <c:f>Sheet1!$A$3</c:f>
              <c:strCache>
                <c:ptCount val="1"/>
              </c:strCache>
            </c:strRef>
          </c:tx>
          <c:spPr>
            <a:solidFill>
              <a:srgbClr val="993366"/>
            </a:solidFill>
            <a:ln w="12700">
              <a:solidFill>
                <a:srgbClr val="000000"/>
              </a:solidFill>
              <a:prstDash val="solid"/>
            </a:ln>
          </c:spPr>
          <c:dPt>
            <c:idx val="0"/>
            <c:bubble3D val="0"/>
            <c:spPr>
              <a:solidFill>
                <a:srgbClr val="9999FF"/>
              </a:solidFill>
              <a:ln w="12700">
                <a:solidFill>
                  <a:srgbClr val="000000"/>
                </a:solidFill>
                <a:prstDash val="solid"/>
              </a:ln>
            </c:spPr>
          </c:dPt>
          <c:dPt>
            <c:idx val="1"/>
            <c:bubble3D val="0"/>
          </c:dPt>
          <c:dPt>
            <c:idx val="2"/>
            <c:bubble3D val="0"/>
            <c:spPr>
              <a:solidFill>
                <a:srgbClr val="FFFFCC"/>
              </a:solidFill>
              <a:ln w="12700">
                <a:solidFill>
                  <a:srgbClr val="000000"/>
                </a:solidFill>
                <a:prstDash val="solid"/>
              </a:ln>
            </c:spPr>
          </c:dPt>
          <c:dPt>
            <c:idx val="3"/>
            <c:bubble3D val="0"/>
            <c:spPr>
              <a:solidFill>
                <a:srgbClr val="CCFFFF"/>
              </a:solidFill>
              <a:ln w="12700">
                <a:solidFill>
                  <a:srgbClr val="000000"/>
                </a:solidFill>
                <a:prstDash val="solid"/>
              </a:ln>
            </c:spPr>
          </c:dPt>
          <c:dPt>
            <c:idx val="4"/>
            <c:bubble3D val="0"/>
            <c:spPr>
              <a:solidFill>
                <a:srgbClr val="660066"/>
              </a:solidFill>
              <a:ln w="12700">
                <a:solidFill>
                  <a:srgbClr val="000000"/>
                </a:solidFill>
                <a:prstDash val="solid"/>
              </a:ln>
            </c:spPr>
          </c:dPt>
          <c:dPt>
            <c:idx val="5"/>
            <c:bubble3D val="0"/>
            <c:spPr>
              <a:solidFill>
                <a:srgbClr val="FF8080"/>
              </a:solidFill>
              <a:ln w="12700">
                <a:solidFill>
                  <a:srgbClr val="000000"/>
                </a:solidFill>
                <a:prstDash val="solid"/>
              </a:ln>
            </c:spPr>
          </c:dPt>
          <c:dPt>
            <c:idx val="6"/>
            <c:bubble3D val="0"/>
            <c:spPr>
              <a:solidFill>
                <a:srgbClr val="0066CC"/>
              </a:solidFill>
              <a:ln w="12700">
                <a:solidFill>
                  <a:srgbClr val="000000"/>
                </a:solidFill>
                <a:prstDash val="solid"/>
              </a:ln>
            </c:spPr>
          </c:dPt>
          <c:dLbls>
            <c:numFmt formatCode="0%" sourceLinked="0"/>
            <c:spPr>
              <a:noFill/>
              <a:ln w="25400">
                <a:noFill/>
              </a:ln>
            </c:spPr>
            <c:txPr>
              <a:bodyPr wrap="square" lIns="38100" tIns="19050" rIns="38100" bIns="19050" anchor="ctr">
                <a:spAutoFit/>
              </a:bodyPr>
              <a:lstStyle/>
              <a:p>
                <a:pPr>
                  <a:defRPr sz="1200" b="0" i="0" u="none" strike="noStrike" baseline="0">
                    <a:solidFill>
                      <a:srgbClr val="000000"/>
                    </a:solidFill>
                    <a:latin typeface="宋体"/>
                    <a:ea typeface="宋体"/>
                    <a:cs typeface="宋体"/>
                  </a:defRPr>
                </a:pPr>
                <a:endParaRPr lang="zh-CN"/>
              </a:p>
            </c:txPr>
            <c:showLegendKey val="0"/>
            <c:showVal val="1"/>
            <c:showCatName val="1"/>
            <c:showSerName val="0"/>
            <c:showPercent val="1"/>
            <c:showBubbleSize val="0"/>
            <c:separator>, </c:separator>
            <c:showLeaderLines val="1"/>
            <c:extLst>
              <c:ext xmlns:c15="http://schemas.microsoft.com/office/drawing/2012/chart" uri="{CE6537A1-D6FC-4f65-9D91-7224C49458BB}"/>
            </c:extLst>
          </c:dLbls>
          <c:cat>
            <c:strRef>
              <c:f>Sheet1!$B$1:$H$1</c:f>
              <c:strCache>
                <c:ptCount val="7"/>
                <c:pt idx="0">
                  <c:v>锅炉</c:v>
                </c:pt>
                <c:pt idx="1">
                  <c:v>压力容器</c:v>
                </c:pt>
                <c:pt idx="2">
                  <c:v>电梯</c:v>
                </c:pt>
                <c:pt idx="3">
                  <c:v>起重机械</c:v>
                </c:pt>
                <c:pt idx="4">
                  <c:v>客运索道</c:v>
                </c:pt>
                <c:pt idx="5">
                  <c:v>大型游乐设施</c:v>
                </c:pt>
                <c:pt idx="6">
                  <c:v>场（厂）内专用机动车辆</c:v>
                </c:pt>
              </c:strCache>
            </c:strRef>
          </c:cat>
          <c:val>
            <c:numRef>
              <c:f>Sheet1!$B$3:$H$3</c:f>
              <c:numCache>
                <c:formatCode>0.00%</c:formatCode>
                <c:ptCount val="7"/>
                <c:pt idx="0">
                  <c:v>6.4199999999999993E-2</c:v>
                </c:pt>
                <c:pt idx="1">
                  <c:v>0.35920000000000002</c:v>
                </c:pt>
                <c:pt idx="2">
                  <c:v>0.29360000000000003</c:v>
                </c:pt>
                <c:pt idx="3">
                  <c:v>0.21479999999999999</c:v>
                </c:pt>
                <c:pt idx="4">
                  <c:v>1E-4</c:v>
                </c:pt>
                <c:pt idx="5">
                  <c:v>2E-3</c:v>
                </c:pt>
                <c:pt idx="6">
                  <c:v>6.6299999999999998E-2</c:v>
                </c:pt>
              </c:numCache>
            </c:numRef>
          </c:val>
        </c:ser>
        <c:dLbls>
          <c:showLegendKey val="0"/>
          <c:showVal val="1"/>
          <c:showCatName val="1"/>
          <c:showSerName val="0"/>
          <c:showPercent val="1"/>
          <c:showBubbleSize val="0"/>
          <c:separator>, </c:separator>
          <c:showLeaderLines val="1"/>
        </c:dLbls>
        <c:firstSliceAng val="20"/>
      </c:pieChart>
      <c:spPr>
        <a:noFill/>
        <a:ln w="12700">
          <a:solidFill>
            <a:srgbClr val="FFFFFF"/>
          </a:solidFill>
          <a:prstDash val="solid"/>
        </a:ln>
      </c:spPr>
    </c:plotArea>
    <c:plotVisOnly val="1"/>
    <c:dispBlanksAs val="zero"/>
    <c:showDLblsOverMax val="0"/>
  </c:chart>
  <c:spPr>
    <a:noFill/>
    <a:ln>
      <a:noFill/>
    </a:ln>
  </c:spPr>
  <c:txPr>
    <a:bodyPr/>
    <a:lstStyle/>
    <a:p>
      <a:pPr>
        <a:defRPr sz="1200" b="0" i="0" u="none" strike="noStrike" baseline="0">
          <a:solidFill>
            <a:srgbClr val="000000"/>
          </a:solidFill>
          <a:latin typeface="宋体"/>
          <a:ea typeface="宋体"/>
          <a:cs typeface="宋体"/>
        </a:defRPr>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384</TotalTime>
  <Pages>18</Pages>
  <Words>2008</Words>
  <Characters>11451</Characters>
  <Application>Microsoft Office Word</Application>
  <DocSecurity>0</DocSecurity>
  <Lines>95</Lines>
  <Paragraphs>26</Paragraphs>
  <ScaleCrop>false</ScaleCrop>
  <Company>Microsoft</Company>
  <LinksUpToDate>false</LinksUpToDate>
  <CharactersWithSpaces>13433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gjsdxj</dc:creator>
  <cp:keywords/>
  <dc:description/>
  <cp:lastModifiedBy>gjsdxj</cp:lastModifiedBy>
  <cp:revision>15</cp:revision>
  <dcterms:created xsi:type="dcterms:W3CDTF">2015-08-29T06:02:00Z</dcterms:created>
  <dcterms:modified xsi:type="dcterms:W3CDTF">2015-10-08T07:04:00Z</dcterms:modified>
</cp:coreProperties>
</file>