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黑体" w:hAnsi="黑体" w:eastAsia="黑体"/>
          <w:b/>
          <w:color w:val="00B0F0"/>
          <w:sz w:val="30"/>
          <w:szCs w:val="30"/>
        </w:rPr>
      </w:pPr>
      <w:r>
        <w:rPr>
          <w:rFonts w:hint="eastAsia" w:ascii="黑体" w:hAnsi="黑体" w:eastAsia="黑体"/>
          <w:b/>
          <w:color w:val="00B0F0"/>
          <w:sz w:val="32"/>
          <w:szCs w:val="32"/>
        </w:rPr>
        <w:t>——</w:t>
      </w:r>
      <w:r>
        <w:rPr>
          <w:rFonts w:ascii="黑体" w:hAnsi="黑体" w:eastAsia="黑体"/>
          <w:b/>
          <w:color w:val="00B0F0"/>
          <w:sz w:val="32"/>
          <w:szCs w:val="32"/>
        </w:rPr>
        <w:t>——————</w:t>
      </w:r>
      <w:r>
        <w:rPr>
          <w:rFonts w:ascii="黑体" w:hAnsi="黑体" w:eastAsia="黑体"/>
          <w:sz w:val="30"/>
          <w:szCs w:val="30"/>
        </w:rPr>
        <w:t xml:space="preserve"> </w:t>
      </w:r>
      <w:r>
        <w:rPr>
          <w:rFonts w:hint="eastAsia" w:ascii="黑体" w:hAnsi="黑体" w:eastAsia="黑体"/>
          <w:sz w:val="30"/>
          <w:szCs w:val="30"/>
        </w:rPr>
        <w:t>青岛市特种设备</w:t>
      </w:r>
      <w:r>
        <w:rPr>
          <w:rFonts w:ascii="黑体" w:hAnsi="黑体" w:eastAsia="黑体"/>
          <w:sz w:val="30"/>
          <w:szCs w:val="30"/>
        </w:rPr>
        <w:t>协会</w:t>
      </w:r>
      <w:r>
        <w:rPr>
          <w:rFonts w:hint="eastAsia" w:ascii="黑体" w:hAnsi="黑体" w:eastAsia="黑体"/>
          <w:sz w:val="30"/>
          <w:szCs w:val="30"/>
        </w:rPr>
        <w:t xml:space="preserve"> </w:t>
      </w:r>
      <w:r>
        <w:rPr>
          <w:rFonts w:hint="eastAsia" w:ascii="黑体" w:hAnsi="黑体" w:eastAsia="黑体"/>
          <w:b/>
          <w:color w:val="00B0F0"/>
          <w:sz w:val="32"/>
          <w:szCs w:val="32"/>
        </w:rPr>
        <w:t>——-</w:t>
      </w:r>
      <w:r>
        <w:rPr>
          <w:rFonts w:ascii="黑体" w:hAnsi="黑体" w:eastAsia="黑体"/>
          <w:b/>
          <w:color w:val="00B0F0"/>
          <w:sz w:val="32"/>
          <w:szCs w:val="32"/>
        </w:rPr>
        <w:t>—————</w:t>
      </w:r>
      <w:r>
        <w:rPr>
          <w:rFonts w:ascii="黑体" w:hAnsi="黑体" w:eastAsia="黑体"/>
          <w:b/>
          <w:color w:val="00B0F0"/>
          <w:sz w:val="30"/>
          <w:szCs w:val="30"/>
        </w:rPr>
        <w:t>-</w:t>
      </w:r>
    </w:p>
    <w:p>
      <w:pPr>
        <w:jc w:val="center"/>
        <w:rPr>
          <w:rFonts w:ascii="黑体" w:hAnsi="黑体" w:eastAsia="黑体"/>
          <w:szCs w:val="21"/>
        </w:rPr>
      </w:pPr>
    </w:p>
    <w:p>
      <w:pPr>
        <w:jc w:val="center"/>
        <w:outlineLvl w:val="0"/>
        <w:rPr>
          <w:rFonts w:ascii="方正隶二简体" w:hAnsi="黑体" w:eastAsia="方正隶二简体"/>
          <w:color w:val="C00000"/>
          <w:sz w:val="96"/>
          <w:szCs w:val="96"/>
        </w:rPr>
      </w:pPr>
      <w:r>
        <w:rPr>
          <w:rFonts w:ascii="方正隶二简体" w:hAnsi="黑体" w:eastAsia="方正隶二简体"/>
          <w:color w:val="C00000"/>
          <w:sz w:val="96"/>
          <w:szCs w:val="96"/>
        </w:rPr>
        <w:drawing>
          <wp:inline distT="0" distB="0" distL="0" distR="0">
            <wp:extent cx="481330" cy="504825"/>
            <wp:effectExtent l="0" t="0" r="0" b="0"/>
            <wp:docPr id="10" name="图片 10" descr="E:\协会\协会徽标\协会徽标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协会\协会徽标\协会徽标3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550306" cy="576736"/>
                    </a:xfrm>
                    <a:prstGeom prst="rect">
                      <a:avLst/>
                    </a:prstGeom>
                    <a:noFill/>
                    <a:ln>
                      <a:noFill/>
                    </a:ln>
                  </pic:spPr>
                </pic:pic>
              </a:graphicData>
            </a:graphic>
          </wp:inline>
        </w:drawing>
      </w:r>
      <w:r>
        <w:rPr>
          <w:rFonts w:hint="eastAsia" w:ascii="方正隶二简体" w:hAnsi="黑体" w:eastAsia="方正隶二简体"/>
          <w:color w:val="C00000"/>
          <w:sz w:val="30"/>
          <w:szCs w:val="30"/>
        </w:rPr>
        <w:t xml:space="preserve"> </w:t>
      </w:r>
      <w:r>
        <w:rPr>
          <w:rFonts w:hint="eastAsia" w:ascii="方正隶二简体" w:hAnsi="黑体" w:eastAsia="方正隶二简体"/>
          <w:color w:val="C00000"/>
          <w:sz w:val="90"/>
          <w:szCs w:val="90"/>
        </w:rPr>
        <w:t>特种设备协会简报</w:t>
      </w:r>
    </w:p>
    <w:p>
      <w:pPr>
        <w:jc w:val="center"/>
        <w:outlineLvl w:val="0"/>
        <w:rPr>
          <w:rFonts w:asciiTheme="minorEastAsia" w:hAnsiTheme="minorEastAsia"/>
          <w:b/>
          <w:sz w:val="36"/>
          <w:szCs w:val="36"/>
        </w:rPr>
      </w:pPr>
      <w:r>
        <w:rPr>
          <w:rFonts w:hint="eastAsia" w:ascii="黑体" w:hAnsi="黑体" w:eastAsia="黑体"/>
          <w:sz w:val="36"/>
          <w:szCs w:val="36"/>
        </w:rPr>
        <w:t>201</w:t>
      </w:r>
      <w:r>
        <w:rPr>
          <w:rFonts w:hint="eastAsia" w:ascii="黑体" w:hAnsi="黑体" w:eastAsia="黑体"/>
          <w:sz w:val="36"/>
          <w:szCs w:val="36"/>
          <w:lang w:val="en-US" w:eastAsia="zh-CN"/>
        </w:rPr>
        <w:t>9</w:t>
      </w:r>
      <w:r>
        <w:rPr>
          <w:rFonts w:hint="eastAsia" w:ascii="黑体" w:hAnsi="黑体" w:eastAsia="黑体"/>
          <w:sz w:val="36"/>
          <w:szCs w:val="36"/>
        </w:rPr>
        <w:t>年</w:t>
      </w:r>
      <w:r>
        <w:rPr>
          <w:rFonts w:ascii="黑体" w:hAnsi="黑体" w:eastAsia="黑体"/>
          <w:sz w:val="36"/>
          <w:szCs w:val="36"/>
        </w:rPr>
        <w:t>第</w:t>
      </w:r>
      <w:r>
        <w:rPr>
          <w:rFonts w:hint="eastAsia" w:ascii="黑体" w:hAnsi="黑体" w:eastAsia="黑体"/>
          <w:sz w:val="36"/>
          <w:szCs w:val="36"/>
          <w:lang w:eastAsia="zh-CN"/>
        </w:rPr>
        <w:t>二</w:t>
      </w:r>
      <w:r>
        <w:rPr>
          <w:rFonts w:ascii="黑体" w:hAnsi="黑体" w:eastAsia="黑体"/>
          <w:sz w:val="36"/>
          <w:szCs w:val="36"/>
        </w:rPr>
        <w:t>期</w:t>
      </w:r>
      <w:r>
        <w:rPr>
          <w:rFonts w:hint="eastAsia" w:ascii="黑体" w:hAnsi="黑体" w:eastAsia="黑体"/>
          <w:sz w:val="36"/>
          <w:szCs w:val="36"/>
        </w:rPr>
        <w:t xml:space="preserve">  总</w:t>
      </w:r>
      <w:r>
        <w:rPr>
          <w:rFonts w:ascii="黑体" w:hAnsi="黑体" w:eastAsia="黑体"/>
          <w:sz w:val="36"/>
          <w:szCs w:val="36"/>
        </w:rPr>
        <w:t>第</w:t>
      </w:r>
      <w:r>
        <w:rPr>
          <w:rFonts w:hint="eastAsia" w:ascii="黑体" w:hAnsi="黑体" w:eastAsia="黑体"/>
          <w:sz w:val="36"/>
          <w:szCs w:val="36"/>
          <w:lang w:eastAsia="zh-CN"/>
        </w:rPr>
        <w:t>六</w:t>
      </w:r>
      <w:r>
        <w:rPr>
          <w:rFonts w:ascii="黑体" w:hAnsi="黑体" w:eastAsia="黑体"/>
          <w:sz w:val="36"/>
          <w:szCs w:val="36"/>
        </w:rPr>
        <w:t>期</w:t>
      </w:r>
    </w:p>
    <w:p>
      <w:pPr>
        <w:rPr>
          <w:rFonts w:ascii="黑体" w:hAnsi="黑体" w:eastAsia="黑体"/>
          <w:sz w:val="24"/>
          <w:szCs w:val="24"/>
        </w:rPr>
      </w:pPr>
    </w:p>
    <w:p>
      <w:pPr>
        <w:rPr>
          <w:rFonts w:ascii="黑体" w:hAnsi="黑体" w:eastAsia="黑体"/>
          <w:sz w:val="24"/>
          <w:szCs w:val="24"/>
        </w:rPr>
      </w:pPr>
      <w:r>
        <w:rPr>
          <w:rFonts w:hint="eastAsia" w:ascii="黑体" w:hAnsi="黑体" w:eastAsia="黑体"/>
          <w:sz w:val="24"/>
          <w:szCs w:val="24"/>
        </w:rPr>
        <w:t>地址</w:t>
      </w:r>
      <w:r>
        <w:rPr>
          <w:rFonts w:ascii="黑体" w:hAnsi="黑体" w:eastAsia="黑体"/>
          <w:sz w:val="24"/>
          <w:szCs w:val="24"/>
        </w:rPr>
        <w:t>：青岛市市南区山东路</w:t>
      </w:r>
      <w:r>
        <w:rPr>
          <w:rFonts w:hint="eastAsia" w:ascii="黑体" w:hAnsi="黑体" w:eastAsia="黑体"/>
          <w:sz w:val="24"/>
          <w:szCs w:val="24"/>
        </w:rPr>
        <w:t xml:space="preserve">15号                             </w:t>
      </w:r>
      <w:r>
        <w:rPr>
          <w:rFonts w:hint="eastAsia" w:asciiTheme="minorEastAsia" w:hAnsiTheme="minorEastAsia"/>
          <w:sz w:val="24"/>
          <w:szCs w:val="24"/>
        </w:rPr>
        <w:t>201</w:t>
      </w:r>
      <w:r>
        <w:rPr>
          <w:rFonts w:hint="eastAsia" w:asciiTheme="minorEastAsia" w:hAnsiTheme="minorEastAsia"/>
          <w:sz w:val="24"/>
          <w:szCs w:val="24"/>
          <w:lang w:val="en-US" w:eastAsia="zh-CN"/>
        </w:rPr>
        <w:t>9</w:t>
      </w:r>
      <w:r>
        <w:rPr>
          <w:rFonts w:hint="eastAsia" w:asciiTheme="minorEastAsia" w:hAnsiTheme="minorEastAsia"/>
          <w:sz w:val="24"/>
          <w:szCs w:val="24"/>
        </w:rPr>
        <w:t>年</w:t>
      </w:r>
      <w:r>
        <w:rPr>
          <w:rFonts w:hint="eastAsia" w:asciiTheme="minorEastAsia" w:hAnsiTheme="minorEastAsia"/>
          <w:sz w:val="24"/>
          <w:szCs w:val="24"/>
          <w:lang w:val="en-US" w:eastAsia="zh-CN"/>
        </w:rPr>
        <w:t>6</w:t>
      </w:r>
      <w:bookmarkStart w:id="3" w:name="_GoBack"/>
      <w:bookmarkEnd w:id="3"/>
      <w:r>
        <w:rPr>
          <w:rFonts w:hint="eastAsia" w:asciiTheme="minorEastAsia" w:hAnsiTheme="minorEastAsia"/>
          <w:sz w:val="24"/>
          <w:szCs w:val="24"/>
        </w:rPr>
        <w:t>月</w:t>
      </w:r>
    </w:p>
    <w:p>
      <w:pPr>
        <w:rPr>
          <w:rFonts w:ascii="黑体" w:hAnsi="黑体" w:eastAsia="黑体"/>
          <w:sz w:val="24"/>
          <w:szCs w:val="24"/>
        </w:rPr>
      </w:pPr>
      <w:r>
        <w:rPr>
          <w:rFonts w:hint="eastAsia" w:ascii="黑体" w:hAnsi="黑体" w:eastAsia="黑体"/>
          <w:sz w:val="24"/>
          <w:szCs w:val="24"/>
        </w:rPr>
        <w:t>电话（传真</w:t>
      </w:r>
      <w:r>
        <w:rPr>
          <w:rFonts w:ascii="黑体" w:hAnsi="黑体" w:eastAsia="黑体"/>
          <w:sz w:val="24"/>
          <w:szCs w:val="24"/>
        </w:rPr>
        <w:t>）：</w:t>
      </w:r>
      <w:r>
        <w:rPr>
          <w:rFonts w:hint="eastAsia" w:ascii="黑体" w:hAnsi="黑体" w:eastAsia="黑体"/>
          <w:sz w:val="24"/>
          <w:szCs w:val="24"/>
        </w:rPr>
        <w:t>0532</w:t>
      </w:r>
      <w:r>
        <w:rPr>
          <w:rFonts w:ascii="黑体" w:hAnsi="黑体" w:eastAsia="黑体"/>
          <w:sz w:val="24"/>
          <w:szCs w:val="24"/>
        </w:rPr>
        <w:t xml:space="preserve">-85815622                           </w:t>
      </w:r>
      <w:r>
        <w:rPr>
          <w:rFonts w:hint="eastAsia" w:asciiTheme="minorEastAsia" w:hAnsiTheme="minorEastAsia"/>
          <w:b/>
          <w:szCs w:val="21"/>
        </w:rPr>
        <w:t>内部</w:t>
      </w:r>
      <w:r>
        <w:rPr>
          <w:rFonts w:asciiTheme="minorEastAsia" w:hAnsiTheme="minorEastAsia"/>
          <w:b/>
          <w:szCs w:val="21"/>
        </w:rPr>
        <w:t>刊</w:t>
      </w:r>
      <w:r>
        <w:rPr>
          <w:rFonts w:hint="eastAsia" w:asciiTheme="minorEastAsia" w:hAnsiTheme="minorEastAsia"/>
          <w:b/>
          <w:szCs w:val="21"/>
        </w:rPr>
        <w:t>物 免费</w:t>
      </w:r>
      <w:r>
        <w:rPr>
          <w:rFonts w:asciiTheme="minorEastAsia" w:hAnsiTheme="minorEastAsia"/>
          <w:b/>
          <w:szCs w:val="21"/>
        </w:rPr>
        <w:t>赠阅</w:t>
      </w:r>
    </w:p>
    <w:p>
      <w:pPr>
        <w:rPr>
          <w:rFonts w:asciiTheme="minorEastAsia" w:hAnsiTheme="minorEastAsia"/>
          <w:color w:val="00B0F0"/>
          <w:sz w:val="32"/>
          <w:szCs w:val="32"/>
        </w:rPr>
      </w:pPr>
      <w:r>
        <w:rPr>
          <w:rFonts w:asciiTheme="minorEastAsia" w:hAnsiTheme="minorEastAsia"/>
          <w:color w:val="00B050"/>
          <w:sz w:val="32"/>
          <w:szCs w:val="32"/>
        </w:rP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45720</wp:posOffset>
                </wp:positionV>
                <wp:extent cx="5267325" cy="114300"/>
                <wp:effectExtent l="6350" t="6350" r="22225" b="12700"/>
                <wp:wrapNone/>
                <wp:docPr id="2" name="矩形 5"/>
                <wp:cNvGraphicFramePr/>
                <a:graphic xmlns:a="http://schemas.openxmlformats.org/drawingml/2006/main">
                  <a:graphicData uri="http://schemas.microsoft.com/office/word/2010/wordprocessingShape">
                    <wps:wsp>
                      <wps:cNvSpPr/>
                      <wps:spPr>
                        <a:xfrm>
                          <a:off x="0" y="0"/>
                          <a:ext cx="5267325" cy="114300"/>
                        </a:xfrm>
                        <a:prstGeom prst="rect">
                          <a:avLst/>
                        </a:prstGeom>
                        <a:solidFill>
                          <a:schemeClr val="bg1">
                            <a:lumMod val="75000"/>
                          </a:schemeClr>
                        </a:solidFill>
                        <a:ln w="12700" cap="flat" cmpd="sng">
                          <a:solidFill>
                            <a:schemeClr val="accent1">
                              <a:lumMod val="50000"/>
                            </a:schemeClr>
                          </a:solidFill>
                          <a:prstDash val="solid"/>
                          <a:miter/>
                          <a:headEnd type="none" w="med" len="med"/>
                          <a:tailEnd type="none" w="med" len="med"/>
                        </a:ln>
                      </wps:spPr>
                      <wps:bodyPr anchor="ctr" upright="1"/>
                    </wps:wsp>
                  </a:graphicData>
                </a:graphic>
              </wp:anchor>
            </w:drawing>
          </mc:Choice>
          <mc:Fallback>
            <w:pict>
              <v:rect id="矩形 5" o:spid="_x0000_s1026" o:spt="1" style="position:absolute;left:0pt;margin-top:3.6pt;height:9pt;width:414.75pt;mso-position-horizontal:right;mso-position-horizontal-relative:margin;z-index:251659264;v-text-anchor:middle;mso-width-relative:page;mso-height-relative:page;" fillcolor="#BFBFBF [2412]" filled="t" stroked="t" coordsize="21600,21600" o:gfxdata="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A291mHUAAAABQEAAA8AAAAAAAAAAQAgAAAAIgAAAGRycy9k&#10;b3ducmV2LnhtbFBLAQIUABQAAAAIAIdO4kDQ5qqZBgIAACIEAAAOAAAAAAAAAAEAIAAAACMBAABk&#10;cnMvZTJvRG9jLnhtbFBLBQYAAAAABgAGAFkBAACbBQAAAAA=&#10;">
                <v:fill on="t" focussize="0,0"/>
                <v:stroke weight="1pt" color="#1F4E79 [1604]" joinstyle="miter"/>
                <v:imagedata o:title=""/>
                <o:lock v:ext="edit" aspectratio="f"/>
              </v:rect>
            </w:pict>
          </mc:Fallback>
        </mc:AlternateContent>
      </w:r>
    </w:p>
    <w:p>
      <w:pPr>
        <w:rPr>
          <w:rFonts w:hint="eastAsia" w:ascii="黑体" w:hAnsi="黑体" w:eastAsia="黑体"/>
          <w:sz w:val="28"/>
          <w:szCs w:val="28"/>
          <w:shd w:val="pct10" w:color="auto" w:fill="FFFFFF"/>
        </w:rPr>
      </w:pPr>
      <w:r>
        <w:rPr>
          <w:rFonts w:hint="eastAsia" w:ascii="黑体" w:hAnsi="黑体" w:eastAsia="黑体"/>
          <w:sz w:val="28"/>
          <w:szCs w:val="28"/>
          <w:shd w:val="pct10" w:color="auto" w:fill="FFFFFF"/>
        </w:rPr>
        <w:t>协会动态</w:t>
      </w:r>
    </w:p>
    <w:p>
      <w:pPr>
        <w:jc w:val="center"/>
        <w:rPr>
          <w:rFonts w:hint="eastAsia" w:asciiTheme="minorEastAsia" w:hAnsiTheme="minorEastAsia"/>
          <w:b/>
          <w:sz w:val="44"/>
          <w:szCs w:val="44"/>
          <w:lang w:val="en-US" w:eastAsia="zh-CN"/>
        </w:rPr>
      </w:pPr>
      <w:r>
        <w:rPr>
          <w:rFonts w:hint="eastAsia" w:asciiTheme="minorEastAsia" w:hAnsiTheme="minorEastAsia"/>
          <w:b/>
          <w:sz w:val="44"/>
          <w:szCs w:val="44"/>
          <w:lang w:val="en-US" w:eastAsia="zh-CN"/>
        </w:rPr>
        <w:t xml:space="preserve">  青岛市特种设备协会成功                     举办2019“元宵欢乐汇”联欢活动</w:t>
      </w:r>
    </w:p>
    <w:p>
      <w:pPr>
        <w:jc w:val="center"/>
        <w:rPr>
          <w:rFonts w:hint="eastAsia" w:asciiTheme="minorEastAsia" w:hAnsiTheme="minorEastAsia"/>
          <w:b/>
          <w:sz w:val="44"/>
          <w:szCs w:val="44"/>
          <w:lang w:val="en-US" w:eastAsia="zh-CN"/>
        </w:rPr>
      </w:pPr>
    </w:p>
    <w:p>
      <w:pPr>
        <w:jc w:val="center"/>
        <w:rPr>
          <w:rFonts w:hint="eastAsia" w:asciiTheme="minorEastAsia" w:hAnsiTheme="minorEastAsia"/>
          <w:b/>
          <w:sz w:val="44"/>
          <w:szCs w:val="44"/>
          <w:lang w:val="en-US" w:eastAsia="zh-CN"/>
        </w:rPr>
      </w:pPr>
      <w:r>
        <w:rPr>
          <w:rFonts w:hint="eastAsia" w:asciiTheme="minorEastAsia" w:hAnsiTheme="minorEastAsia"/>
          <w:b/>
          <w:sz w:val="44"/>
          <w:szCs w:val="44"/>
          <w:lang w:val="en-US" w:eastAsia="zh-CN"/>
        </w:rPr>
        <w:drawing>
          <wp:inline distT="0" distB="0" distL="114300" distR="114300">
            <wp:extent cx="5273040" cy="3954780"/>
            <wp:effectExtent l="0" t="0" r="3810" b="7620"/>
            <wp:docPr id="1" name="图片 1" desc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01"/>
                    <pic:cNvPicPr>
                      <a:picLocks noChangeAspect="1"/>
                    </pic:cNvPicPr>
                  </pic:nvPicPr>
                  <pic:blipFill>
                    <a:blip r:embed="rId7"/>
                    <a:stretch>
                      <a:fillRect/>
                    </a:stretch>
                  </pic:blipFill>
                  <pic:spPr>
                    <a:xfrm>
                      <a:off x="0" y="0"/>
                      <a:ext cx="5273040" cy="3954780"/>
                    </a:xfrm>
                    <a:prstGeom prst="rect">
                      <a:avLst/>
                    </a:prstGeom>
                  </pic:spPr>
                </pic:pic>
              </a:graphicData>
            </a:graphic>
          </wp:inline>
        </w:drawing>
      </w:r>
    </w:p>
    <w:p>
      <w:pPr>
        <w:jc w:val="center"/>
        <w:rPr>
          <w:rFonts w:hint="eastAsia" w:asciiTheme="minorEastAsia" w:hAnsiTheme="minorEastAsia"/>
          <w:b/>
          <w:sz w:val="44"/>
          <w:szCs w:val="44"/>
          <w:lang w:val="en-US" w:eastAsia="zh-CN"/>
        </w:rPr>
      </w:pPr>
    </w:p>
    <w:p>
      <w:pPr>
        <w:jc w:val="center"/>
        <w:rPr>
          <w:rFonts w:hint="eastAsia" w:asciiTheme="minorEastAsia" w:hAnsiTheme="minorEastAsia"/>
          <w:b/>
          <w:sz w:val="44"/>
          <w:szCs w:val="44"/>
          <w:lang w:val="en-US" w:eastAsia="zh-CN"/>
        </w:rPr>
      </w:pPr>
    </w:p>
    <w:p>
      <w:pPr>
        <w:ind w:firstLine="720"/>
        <w:jc w:val="left"/>
        <w:rPr>
          <w:rFonts w:hint="eastAsia" w:ascii="楷体" w:hAnsi="楷体" w:eastAsia="楷体" w:cstheme="minorBidi"/>
          <w:kern w:val="2"/>
          <w:sz w:val="36"/>
          <w:szCs w:val="36"/>
          <w:lang w:val="en-US" w:eastAsia="zh-CN" w:bidi="ar-SA"/>
        </w:rPr>
      </w:pPr>
      <w:r>
        <w:rPr>
          <w:rFonts w:hint="eastAsia" w:ascii="楷体" w:hAnsi="楷体" w:eastAsia="楷体" w:cstheme="minorBidi"/>
          <w:kern w:val="2"/>
          <w:sz w:val="36"/>
          <w:szCs w:val="36"/>
          <w:lang w:val="en-US" w:eastAsia="zh-CN" w:bidi="ar-SA"/>
        </w:rPr>
        <w:t>正月十五元宵节始于2000多年前的秦朝，是我国的传统重要节日，也是春节年俗中最后一个重要节令，标志着一元复始、春回大地。人们在这一天团聚赏月、猜灯谜、吃元宵、舞狮舞龙，庆贺新春的延续，热闹非凡。</w:t>
      </w:r>
      <w:r>
        <w:rPr>
          <w:rFonts w:hint="eastAsia" w:ascii="楷体" w:hAnsi="楷体" w:eastAsia="楷体" w:cstheme="minorBidi"/>
          <w:kern w:val="2"/>
          <w:sz w:val="36"/>
          <w:szCs w:val="36"/>
          <w:lang w:val="en-US" w:eastAsia="zh-CN" w:bidi="ar-SA"/>
        </w:rPr>
        <w:br w:type="textWrapping"/>
      </w:r>
      <w:r>
        <w:rPr>
          <w:rFonts w:hint="eastAsia" w:ascii="楷体" w:hAnsi="楷体" w:eastAsia="楷体" w:cstheme="minorBidi"/>
          <w:kern w:val="2"/>
          <w:sz w:val="36"/>
          <w:szCs w:val="36"/>
          <w:lang w:val="en-US" w:eastAsia="zh-CN" w:bidi="ar-SA"/>
        </w:rPr>
        <w:t>     为弘扬传统文化，庆祝元宵佳节，2月19日中午，青岛市特种设备协会工作人员及会员单位代表在3楼活动室欢聚一堂，共同参加了2019“元宵欢乐汇”联欢活动。</w:t>
      </w:r>
      <w:r>
        <w:rPr>
          <w:rFonts w:hint="eastAsia" w:ascii="楷体" w:hAnsi="楷体" w:eastAsia="楷体" w:cstheme="minorBidi"/>
          <w:kern w:val="2"/>
          <w:sz w:val="36"/>
          <w:szCs w:val="36"/>
          <w:lang w:val="en-US" w:eastAsia="zh-CN" w:bidi="ar-SA"/>
        </w:rPr>
        <w:br w:type="textWrapping"/>
      </w:r>
      <w:r>
        <w:rPr>
          <w:rFonts w:hint="eastAsia" w:ascii="楷体" w:hAnsi="楷体" w:eastAsia="楷体" w:cstheme="minorBidi"/>
          <w:kern w:val="2"/>
          <w:sz w:val="36"/>
          <w:szCs w:val="36"/>
          <w:lang w:val="en-US" w:eastAsia="zh-CN" w:bidi="ar-SA"/>
        </w:rPr>
        <w:t xml:space="preserve">    协会办公室主任周凤主持此次活动，带领大家追溯元宵节的起源和意义，同时向参加活动的全体同仁致以美好的新春祝福。联欢活动设置了乒乓球、踢毽子、夹“元宵”、“你说我猜”等趣味比赛及游戏项目并为获胜个人准备了贴心的奖品。大家踊跃参与各类项目的角逐，现场洋溢着欢乐祥和的节日气氛。</w:t>
      </w:r>
    </w:p>
    <w:p>
      <w:pPr>
        <w:ind w:firstLine="720"/>
        <w:jc w:val="both"/>
        <w:rPr>
          <w:rFonts w:hint="eastAsia" w:ascii="楷体" w:hAnsi="楷体" w:eastAsia="楷体" w:cs="楷体"/>
          <w:i w:val="0"/>
          <w:caps w:val="0"/>
          <w:color w:val="555555"/>
          <w:spacing w:val="0"/>
          <w:sz w:val="36"/>
          <w:szCs w:val="36"/>
          <w:shd w:val="clear" w:fill="FFFFFF"/>
          <w:lang w:val="en-US" w:eastAsia="zh-CN"/>
        </w:rPr>
      </w:pPr>
      <w:r>
        <w:rPr>
          <w:rFonts w:hint="eastAsia" w:ascii="楷体" w:hAnsi="楷体" w:eastAsia="楷体" w:cs="楷体"/>
          <w:i w:val="0"/>
          <w:caps w:val="0"/>
          <w:color w:val="555555"/>
          <w:spacing w:val="0"/>
          <w:sz w:val="36"/>
          <w:szCs w:val="36"/>
          <w:shd w:val="clear" w:fill="FFFFFF"/>
          <w:lang w:val="en-US" w:eastAsia="zh-CN"/>
        </w:rPr>
        <w:drawing>
          <wp:inline distT="0" distB="0" distL="114300" distR="114300">
            <wp:extent cx="4685030" cy="3676650"/>
            <wp:effectExtent l="0" t="0" r="1270" b="0"/>
            <wp:docPr id="4" name="图片 4"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2"/>
                    <pic:cNvPicPr>
                      <a:picLocks noChangeAspect="1"/>
                    </pic:cNvPicPr>
                  </pic:nvPicPr>
                  <pic:blipFill>
                    <a:blip r:embed="rId8"/>
                    <a:stretch>
                      <a:fillRect/>
                    </a:stretch>
                  </pic:blipFill>
                  <pic:spPr>
                    <a:xfrm>
                      <a:off x="0" y="0"/>
                      <a:ext cx="4685030" cy="3676650"/>
                    </a:xfrm>
                    <a:prstGeom prst="rect">
                      <a:avLst/>
                    </a:prstGeom>
                  </pic:spPr>
                </pic:pic>
              </a:graphicData>
            </a:graphic>
          </wp:inline>
        </w:drawing>
      </w:r>
    </w:p>
    <w:p>
      <w:pPr>
        <w:jc w:val="left"/>
        <w:rPr>
          <w:rFonts w:hint="eastAsia" w:ascii="楷体" w:hAnsi="楷体" w:eastAsia="楷体" w:cs="楷体"/>
          <w:i w:val="0"/>
          <w:caps w:val="0"/>
          <w:color w:val="555555"/>
          <w:spacing w:val="0"/>
          <w:sz w:val="36"/>
          <w:szCs w:val="36"/>
          <w:shd w:val="clear" w:fill="FFFFFF"/>
          <w:lang w:val="en-US" w:eastAsia="zh-CN"/>
        </w:rPr>
      </w:pPr>
    </w:p>
    <w:p>
      <w:pPr>
        <w:ind w:firstLine="720"/>
        <w:jc w:val="left"/>
        <w:rPr>
          <w:rFonts w:hint="eastAsia" w:ascii="楷体" w:hAnsi="楷体" w:eastAsia="楷体" w:cs="楷体"/>
          <w:i w:val="0"/>
          <w:caps w:val="0"/>
          <w:color w:val="555555"/>
          <w:spacing w:val="0"/>
          <w:sz w:val="36"/>
          <w:szCs w:val="36"/>
          <w:shd w:val="clear" w:fill="FFFFFF"/>
          <w:lang w:val="en-US" w:eastAsia="zh-CN"/>
        </w:rPr>
      </w:pPr>
      <w:r>
        <w:rPr>
          <w:rFonts w:hint="eastAsia" w:ascii="楷体" w:hAnsi="楷体" w:eastAsia="楷体" w:cs="楷体"/>
          <w:i w:val="0"/>
          <w:caps w:val="0"/>
          <w:color w:val="555555"/>
          <w:spacing w:val="0"/>
          <w:sz w:val="36"/>
          <w:szCs w:val="36"/>
          <w:shd w:val="clear" w:fill="FFFFFF"/>
          <w:lang w:val="en-US" w:eastAsia="zh-CN"/>
        </w:rPr>
        <w:drawing>
          <wp:inline distT="0" distB="0" distL="114300" distR="114300">
            <wp:extent cx="4761865" cy="3954780"/>
            <wp:effectExtent l="0" t="0" r="635" b="7620"/>
            <wp:docPr id="6" name="图片 6" descr="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022"/>
                    <pic:cNvPicPr>
                      <a:picLocks noChangeAspect="1"/>
                    </pic:cNvPicPr>
                  </pic:nvPicPr>
                  <pic:blipFill>
                    <a:blip r:embed="rId9"/>
                    <a:stretch>
                      <a:fillRect/>
                    </a:stretch>
                  </pic:blipFill>
                  <pic:spPr>
                    <a:xfrm>
                      <a:off x="0" y="0"/>
                      <a:ext cx="4761865" cy="3954780"/>
                    </a:xfrm>
                    <a:prstGeom prst="rect">
                      <a:avLst/>
                    </a:prstGeom>
                  </pic:spPr>
                </pic:pic>
              </a:graphicData>
            </a:graphic>
          </wp:inline>
        </w:drawing>
      </w:r>
    </w:p>
    <w:p>
      <w:pPr>
        <w:ind w:firstLine="720"/>
        <w:jc w:val="left"/>
        <w:rPr>
          <w:rFonts w:hint="eastAsia" w:ascii="楷体" w:hAnsi="楷体" w:eastAsia="楷体" w:cs="楷体"/>
          <w:i w:val="0"/>
          <w:caps w:val="0"/>
          <w:color w:val="555555"/>
          <w:spacing w:val="0"/>
          <w:sz w:val="36"/>
          <w:szCs w:val="36"/>
          <w:shd w:val="clear" w:fill="FFFFFF"/>
          <w:lang w:val="en-US" w:eastAsia="zh-CN"/>
        </w:rPr>
      </w:pPr>
    </w:p>
    <w:p>
      <w:pPr>
        <w:ind w:firstLine="720"/>
        <w:jc w:val="left"/>
        <w:rPr>
          <w:rFonts w:hint="eastAsia" w:ascii="楷体" w:hAnsi="楷体" w:eastAsia="楷体" w:cs="楷体"/>
          <w:i w:val="0"/>
          <w:caps w:val="0"/>
          <w:color w:val="555555"/>
          <w:spacing w:val="0"/>
          <w:sz w:val="36"/>
          <w:szCs w:val="36"/>
          <w:shd w:val="clear" w:fill="FFFFFF"/>
          <w:lang w:val="en-US" w:eastAsia="zh-CN"/>
        </w:rPr>
      </w:pPr>
      <w:r>
        <w:rPr>
          <w:rFonts w:hint="eastAsia" w:ascii="楷体" w:hAnsi="楷体" w:eastAsia="楷体" w:cs="楷体"/>
          <w:i w:val="0"/>
          <w:caps w:val="0"/>
          <w:color w:val="555555"/>
          <w:spacing w:val="0"/>
          <w:sz w:val="36"/>
          <w:szCs w:val="36"/>
          <w:shd w:val="clear" w:fill="FFFFFF"/>
          <w:lang w:val="en-US" w:eastAsia="zh-CN"/>
        </w:rPr>
        <w:drawing>
          <wp:inline distT="0" distB="0" distL="114300" distR="114300">
            <wp:extent cx="4762500" cy="3563620"/>
            <wp:effectExtent l="0" t="0" r="0" b="17780"/>
            <wp:docPr id="3" name="图片 3" descr="0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0202"/>
                    <pic:cNvPicPr>
                      <a:picLocks noChangeAspect="1"/>
                    </pic:cNvPicPr>
                  </pic:nvPicPr>
                  <pic:blipFill>
                    <a:blip r:embed="rId10"/>
                    <a:stretch>
                      <a:fillRect/>
                    </a:stretch>
                  </pic:blipFill>
                  <pic:spPr>
                    <a:xfrm>
                      <a:off x="0" y="0"/>
                      <a:ext cx="4762500" cy="3563620"/>
                    </a:xfrm>
                    <a:prstGeom prst="rect">
                      <a:avLst/>
                    </a:prstGeom>
                  </pic:spPr>
                </pic:pic>
              </a:graphicData>
            </a:graphic>
          </wp:inline>
        </w:drawing>
      </w:r>
    </w:p>
    <w:p>
      <w:pPr>
        <w:ind w:firstLine="720"/>
        <w:jc w:val="left"/>
        <w:rPr>
          <w:rFonts w:hint="eastAsia" w:ascii="楷体" w:hAnsi="楷体" w:eastAsia="楷体" w:cs="楷体"/>
          <w:i w:val="0"/>
          <w:caps w:val="0"/>
          <w:color w:val="555555"/>
          <w:spacing w:val="0"/>
          <w:sz w:val="36"/>
          <w:szCs w:val="36"/>
          <w:shd w:val="clear" w:fill="FFFFFF"/>
          <w:lang w:val="en-US" w:eastAsia="zh-CN"/>
        </w:rPr>
      </w:pPr>
    </w:p>
    <w:p>
      <w:pPr>
        <w:ind w:firstLine="720"/>
        <w:jc w:val="left"/>
        <w:rPr>
          <w:rFonts w:hint="eastAsia" w:ascii="楷体" w:hAnsi="楷体" w:eastAsia="楷体" w:cs="楷体"/>
          <w:i w:val="0"/>
          <w:caps w:val="0"/>
          <w:color w:val="555555"/>
          <w:spacing w:val="0"/>
          <w:sz w:val="36"/>
          <w:szCs w:val="36"/>
          <w:shd w:val="clear" w:fill="FFFFFF"/>
          <w:lang w:val="en-US" w:eastAsia="zh-CN"/>
        </w:rPr>
      </w:pPr>
      <w:r>
        <w:rPr>
          <w:rFonts w:hint="eastAsia" w:ascii="楷体" w:hAnsi="楷体" w:eastAsia="楷体" w:cs="楷体"/>
          <w:i w:val="0"/>
          <w:caps w:val="0"/>
          <w:color w:val="555555"/>
          <w:spacing w:val="0"/>
          <w:sz w:val="36"/>
          <w:szCs w:val="36"/>
          <w:shd w:val="clear" w:fill="FFFFFF"/>
          <w:lang w:val="en-US" w:eastAsia="zh-CN"/>
        </w:rPr>
        <w:drawing>
          <wp:inline distT="0" distB="0" distL="114300" distR="114300">
            <wp:extent cx="4762500" cy="3571875"/>
            <wp:effectExtent l="0" t="0" r="0" b="9525"/>
            <wp:docPr id="7" name="图片 7" descr="0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01010"/>
                    <pic:cNvPicPr>
                      <a:picLocks noChangeAspect="1"/>
                    </pic:cNvPicPr>
                  </pic:nvPicPr>
                  <pic:blipFill>
                    <a:blip r:embed="rId11"/>
                    <a:stretch>
                      <a:fillRect/>
                    </a:stretch>
                  </pic:blipFill>
                  <pic:spPr>
                    <a:xfrm>
                      <a:off x="0" y="0"/>
                      <a:ext cx="4762500" cy="3571875"/>
                    </a:xfrm>
                    <a:prstGeom prst="rect">
                      <a:avLst/>
                    </a:prstGeom>
                  </pic:spPr>
                </pic:pic>
              </a:graphicData>
            </a:graphic>
          </wp:inline>
        </w:drawing>
      </w:r>
    </w:p>
    <w:p>
      <w:pPr>
        <w:ind w:firstLine="720"/>
        <w:jc w:val="left"/>
        <w:rPr>
          <w:rFonts w:hint="eastAsia" w:ascii="楷体" w:hAnsi="楷体" w:eastAsia="楷体" w:cs="楷体"/>
          <w:i w:val="0"/>
          <w:caps w:val="0"/>
          <w:color w:val="555555"/>
          <w:spacing w:val="0"/>
          <w:sz w:val="36"/>
          <w:szCs w:val="36"/>
          <w:shd w:val="clear" w:fill="FFFFFF"/>
          <w:lang w:val="en-US" w:eastAsia="zh-CN"/>
        </w:rPr>
      </w:pPr>
    </w:p>
    <w:p>
      <w:pPr>
        <w:jc w:val="left"/>
        <w:rPr>
          <w:rFonts w:hint="eastAsia" w:ascii="楷体" w:hAnsi="楷体" w:eastAsia="楷体" w:cs="楷体"/>
          <w:i w:val="0"/>
          <w:caps w:val="0"/>
          <w:color w:val="555555"/>
          <w:spacing w:val="0"/>
          <w:sz w:val="36"/>
          <w:szCs w:val="36"/>
          <w:shd w:val="clear" w:fill="FFFFFF"/>
          <w:lang w:val="en-US" w:eastAsia="zh-CN"/>
        </w:rPr>
      </w:pPr>
    </w:p>
    <w:p>
      <w:pPr>
        <w:ind w:firstLine="720"/>
        <w:jc w:val="center"/>
        <w:rPr>
          <w:rFonts w:hint="eastAsia" w:ascii="楷体" w:hAnsi="楷体" w:eastAsia="楷体" w:cs="楷体"/>
          <w:i w:val="0"/>
          <w:caps w:val="0"/>
          <w:color w:val="555555"/>
          <w:spacing w:val="0"/>
          <w:sz w:val="36"/>
          <w:szCs w:val="36"/>
          <w:shd w:val="clear" w:fill="FFFFFF"/>
          <w:lang w:val="en-US" w:eastAsia="zh-CN"/>
        </w:rPr>
      </w:pPr>
      <w:r>
        <w:rPr>
          <w:rFonts w:hint="eastAsia" w:ascii="楷体" w:hAnsi="楷体" w:eastAsia="楷体" w:cs="楷体"/>
          <w:i w:val="0"/>
          <w:caps w:val="0"/>
          <w:color w:val="555555"/>
          <w:spacing w:val="0"/>
          <w:sz w:val="36"/>
          <w:szCs w:val="36"/>
          <w:shd w:val="clear" w:fill="FFFFFF"/>
          <w:lang w:val="en-US" w:eastAsia="zh-CN"/>
        </w:rPr>
        <w:drawing>
          <wp:inline distT="0" distB="0" distL="114300" distR="114300">
            <wp:extent cx="4761865" cy="3571240"/>
            <wp:effectExtent l="0" t="0" r="635" b="10160"/>
            <wp:docPr id="8" name="图片 8" descr="03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03030"/>
                    <pic:cNvPicPr>
                      <a:picLocks noChangeAspect="1"/>
                    </pic:cNvPicPr>
                  </pic:nvPicPr>
                  <pic:blipFill>
                    <a:blip r:embed="rId12"/>
                    <a:stretch>
                      <a:fillRect/>
                    </a:stretch>
                  </pic:blipFill>
                  <pic:spPr>
                    <a:xfrm>
                      <a:off x="0" y="0"/>
                      <a:ext cx="4761865" cy="3571240"/>
                    </a:xfrm>
                    <a:prstGeom prst="rect">
                      <a:avLst/>
                    </a:prstGeom>
                  </pic:spPr>
                </pic:pic>
              </a:graphicData>
            </a:graphic>
          </wp:inline>
        </w:drawing>
      </w:r>
    </w:p>
    <w:p>
      <w:pPr>
        <w:pStyle w:val="11"/>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right="0" w:firstLine="720" w:firstLineChars="200"/>
        <w:rPr>
          <w:rFonts w:hint="eastAsia" w:ascii="楷体" w:hAnsi="楷体" w:eastAsia="楷体" w:cs="楷体"/>
          <w:i w:val="0"/>
          <w:caps w:val="0"/>
          <w:color w:val="555555"/>
          <w:spacing w:val="0"/>
          <w:sz w:val="36"/>
          <w:szCs w:val="36"/>
          <w:shd w:val="clear" w:fill="FFFFFF"/>
          <w:lang w:val="en-US" w:eastAsia="zh-CN"/>
        </w:rPr>
      </w:pPr>
      <w:r>
        <w:rPr>
          <w:rFonts w:hint="eastAsia" w:ascii="楷体" w:hAnsi="楷体" w:eastAsia="楷体" w:cstheme="minorBidi"/>
          <w:kern w:val="2"/>
          <w:sz w:val="36"/>
          <w:szCs w:val="36"/>
          <w:lang w:val="en-US" w:eastAsia="zh-CN" w:bidi="ar-SA"/>
        </w:rPr>
        <w:t>此次联欢活动组织协会工作人员与会员单位代表共同参与，欢度佳节的同时增进了交流，加深了友谊；传承文化的同时丰富了生活，弘扬了传统，可谓一举多得，收获满满。新的一年，青岛市特种设备协会将继续与会员单位一同携手并进，共创辉煌！</w:t>
      </w:r>
    </w:p>
    <w:p>
      <w:pPr>
        <w:widowControl w:val="0"/>
        <w:rPr>
          <w:rFonts w:hint="eastAsia" w:ascii="黑体" w:hAnsi="黑体" w:eastAsia="黑体"/>
          <w:sz w:val="28"/>
          <w:szCs w:val="28"/>
          <w:shd w:val="pct10" w:color="auto" w:fill="FFFFFF"/>
          <w:lang w:eastAsia="zh-CN"/>
        </w:rPr>
      </w:pPr>
      <w:r>
        <w:rPr>
          <w:rFonts w:hint="eastAsia" w:ascii="黑体" w:hAnsi="黑体" w:eastAsia="黑体"/>
          <w:sz w:val="28"/>
          <w:szCs w:val="28"/>
          <w:shd w:val="pct10" w:color="auto" w:fill="FFFFFF"/>
          <w:lang w:eastAsia="zh-CN"/>
        </w:rPr>
        <w:t>专题报道</w:t>
      </w:r>
    </w:p>
    <w:p>
      <w:pPr>
        <w:jc w:val="center"/>
        <w:rPr>
          <w:rFonts w:hint="eastAsia" w:asciiTheme="minorEastAsia" w:hAnsiTheme="minorEastAsia"/>
          <w:b/>
          <w:sz w:val="36"/>
          <w:szCs w:val="36"/>
          <w:lang w:val="en-US" w:eastAsia="zh-CN"/>
        </w:rPr>
      </w:pPr>
      <w:r>
        <w:rPr>
          <w:rFonts w:hint="eastAsia" w:asciiTheme="minorEastAsia" w:hAnsiTheme="minorEastAsia"/>
          <w:b/>
          <w:sz w:val="44"/>
          <w:szCs w:val="44"/>
          <w:lang w:val="en-US" w:eastAsia="zh-CN"/>
        </w:rPr>
        <w:t xml:space="preserve">  </w:t>
      </w:r>
      <w:r>
        <w:rPr>
          <w:rFonts w:hint="eastAsia" w:asciiTheme="minorEastAsia" w:hAnsiTheme="minorEastAsia"/>
          <w:b/>
          <w:sz w:val="36"/>
          <w:szCs w:val="36"/>
          <w:lang w:val="en-US" w:eastAsia="zh-CN"/>
        </w:rPr>
        <w:t>青岛市市场监督管理局领导到我协会调研指导</w:t>
      </w:r>
    </w:p>
    <w:p>
      <w:pPr>
        <w:ind w:firstLine="720" w:firstLineChars="200"/>
        <w:rPr>
          <w:rFonts w:hint="eastAsia" w:ascii="楷体" w:hAnsi="楷体" w:eastAsia="楷体" w:cstheme="minorBidi"/>
          <w:kern w:val="2"/>
          <w:sz w:val="36"/>
          <w:szCs w:val="36"/>
          <w:lang w:val="en-US" w:eastAsia="zh-CN" w:bidi="ar-SA"/>
        </w:rPr>
      </w:pPr>
      <w:r>
        <w:rPr>
          <w:rFonts w:hint="eastAsia" w:ascii="楷体" w:hAnsi="楷体" w:eastAsia="楷体" w:cstheme="minorBidi"/>
          <w:kern w:val="2"/>
          <w:sz w:val="36"/>
          <w:szCs w:val="36"/>
          <w:lang w:val="en-US" w:eastAsia="zh-CN" w:bidi="ar-SA"/>
        </w:rPr>
        <w:t>2019年3月18日，青岛市市场监督管理局王雷副局长到青岛市特种设备协会进行调研并指导工作。在青岛市特种设备检验检测研究院周成院长陪同下，王雷副局长先后来到山东路15号和敦化路328号两处办公地点看望了协会的工作人员，并与协会主要负责人进行了座谈。 </w:t>
      </w:r>
      <w:r>
        <w:rPr>
          <w:rFonts w:hint="default" w:ascii="楷体" w:hAnsi="楷体" w:eastAsia="楷体" w:cstheme="minorBidi"/>
          <w:kern w:val="2"/>
          <w:sz w:val="36"/>
          <w:szCs w:val="36"/>
          <w:lang w:val="en-US" w:eastAsia="zh-CN" w:bidi="ar-SA"/>
        </w:rPr>
        <w:br w:type="textWrapping"/>
      </w:r>
      <w:r>
        <w:rPr>
          <w:rFonts w:hint="default" w:ascii="楷体" w:hAnsi="楷体" w:eastAsia="楷体" w:cstheme="minorBidi"/>
          <w:kern w:val="2"/>
          <w:sz w:val="36"/>
          <w:szCs w:val="36"/>
          <w:lang w:val="en-US" w:eastAsia="zh-CN" w:bidi="ar-SA"/>
        </w:rPr>
        <w:t>    青岛市特种设备协会轮值会长（青岛西奥电梯工程有限公司董事长）何圣忠、青岛市特种设备协会秘书长（青岛市特种设备检验检测研究院副院长）吕良广、副秘书长解赞华参加了座谈会。</w:t>
      </w:r>
    </w:p>
    <w:p>
      <w:pPr>
        <w:ind w:firstLine="720" w:firstLineChars="200"/>
        <w:jc w:val="both"/>
        <w:rPr>
          <w:rFonts w:hint="eastAsia" w:ascii="楷体" w:hAnsi="楷体" w:eastAsia="楷体" w:cstheme="minorBidi"/>
          <w:kern w:val="2"/>
          <w:sz w:val="36"/>
          <w:szCs w:val="36"/>
          <w:lang w:val="en-US" w:eastAsia="zh-CN" w:bidi="ar-SA"/>
        </w:rPr>
      </w:pPr>
      <w:r>
        <w:rPr>
          <w:rFonts w:hint="eastAsia" w:ascii="楷体" w:hAnsi="楷体" w:eastAsia="楷体" w:cstheme="minorBidi"/>
          <w:kern w:val="2"/>
          <w:sz w:val="36"/>
          <w:szCs w:val="36"/>
          <w:lang w:val="en-US" w:eastAsia="zh-CN" w:bidi="ar-SA"/>
        </w:rPr>
        <w:drawing>
          <wp:inline distT="0" distB="0" distL="114300" distR="114300">
            <wp:extent cx="4761865" cy="3571240"/>
            <wp:effectExtent l="0" t="0" r="635" b="10160"/>
            <wp:docPr id="9" name="图片 9" descr="0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0110"/>
                    <pic:cNvPicPr>
                      <a:picLocks noChangeAspect="1"/>
                    </pic:cNvPicPr>
                  </pic:nvPicPr>
                  <pic:blipFill>
                    <a:blip r:embed="rId13"/>
                    <a:stretch>
                      <a:fillRect/>
                    </a:stretch>
                  </pic:blipFill>
                  <pic:spPr>
                    <a:xfrm>
                      <a:off x="0" y="0"/>
                      <a:ext cx="4761865" cy="3571240"/>
                    </a:xfrm>
                    <a:prstGeom prst="rect">
                      <a:avLst/>
                    </a:prstGeom>
                  </pic:spPr>
                </pic:pic>
              </a:graphicData>
            </a:graphic>
          </wp:inline>
        </w:drawing>
      </w:r>
    </w:p>
    <w:p>
      <w:pPr>
        <w:ind w:firstLine="720" w:firstLineChars="200"/>
        <w:rPr>
          <w:rFonts w:hint="eastAsia" w:ascii="楷体" w:hAnsi="楷体" w:eastAsia="楷体" w:cstheme="minorBidi"/>
          <w:kern w:val="2"/>
          <w:sz w:val="36"/>
          <w:szCs w:val="36"/>
          <w:lang w:val="en-US" w:eastAsia="zh-CN" w:bidi="ar-SA"/>
        </w:rPr>
      </w:pPr>
      <w:r>
        <w:rPr>
          <w:rFonts w:hint="default" w:ascii="楷体" w:hAnsi="楷体" w:eastAsia="楷体" w:cstheme="minorBidi"/>
          <w:kern w:val="2"/>
          <w:sz w:val="36"/>
          <w:szCs w:val="36"/>
          <w:lang w:val="en-US" w:eastAsia="zh-CN" w:bidi="ar-SA"/>
        </w:rPr>
        <w:t>何圣忠会长首先介绍了协会3月份赴长三角考察调研协会工作及电梯行业等相关情况，并详细汇报了电梯产业园建设与运营、电梯培训（培训学校、特种设备学院）、电梯应急平台建设、高工评审、电梯物联网应用（在电梯按需维保、应急救援、优化年检等方面）、电梯保险、诚信体系建设等方面的先进理念。此外，何会长还汇报了此次考察之行的可喜成果，如我协会与溧阳市电梯商会在共享安装、培训等资源方面建立战略合作伙伴关系，与浙江省特检院和特种设备安全与节能协会结成“亲戚”关系以及承办第二十一届“泛长三角电梯行业联席会”等。何圣忠会长也提出这些友好合作关系的建立只是一个开端，考察学习的最终目的是“引入新变量”，让先进技术和理念植根青岛、创新发展，使青岛本土的电梯行业能够“聚生态、融科技、创未来”。</w:t>
      </w:r>
      <w:r>
        <w:rPr>
          <w:rFonts w:hint="default" w:ascii="楷体" w:hAnsi="楷体" w:eastAsia="楷体" w:cstheme="minorBidi"/>
          <w:kern w:val="2"/>
          <w:sz w:val="36"/>
          <w:szCs w:val="36"/>
          <w:lang w:val="en-US" w:eastAsia="zh-CN" w:bidi="ar-SA"/>
        </w:rPr>
        <w:br w:type="textWrapping"/>
      </w:r>
      <w:r>
        <w:rPr>
          <w:rFonts w:hint="eastAsia" w:ascii="楷体" w:hAnsi="楷体" w:eastAsia="楷体" w:cstheme="minorBidi"/>
          <w:kern w:val="2"/>
          <w:sz w:val="36"/>
          <w:szCs w:val="36"/>
          <w:lang w:val="en-US" w:eastAsia="zh-CN" w:bidi="ar-SA"/>
        </w:rPr>
        <w:t>    随后，解赞华副秘书长从协会内部建设、服务政府、服务企业等几个方面向王雷副局长汇报了协会2018年度的主要工作情况，并重点介绍了协会在扩大规模、建设焊工培训基地、为各区市场监管局提供技术服务、为企业进行事故技术分析、举办“电梯安全知识”动漫大赛和电梯行业研讨会等方面的工作；同时也介绍了“脱钩”后协会对鉴定评审、人员队伍专业化建设、提升培训品牌等各项工作的打算和规划。吕良广秘书长谈到自何会长担任轮值会长以来，协会许多方面的工作都有所突破和发展，并表示我们要把握好前期工作打下的基础，力争今年在焊考培训方面也能有所提升。周成院长也积极为协会的发展出谋划策，建议协会的培训业务可以多角度、深层次延伸，更好的为青岛市特种设备行业服务。</w:t>
      </w:r>
    </w:p>
    <w:p>
      <w:pPr>
        <w:ind w:firstLine="720" w:firstLineChars="200"/>
        <w:jc w:val="left"/>
        <w:rPr>
          <w:rFonts w:hint="eastAsia" w:ascii="楷体" w:hAnsi="楷体" w:eastAsia="楷体" w:cstheme="minorBidi"/>
          <w:kern w:val="2"/>
          <w:sz w:val="36"/>
          <w:szCs w:val="36"/>
          <w:lang w:val="en-US" w:eastAsia="zh-CN" w:bidi="ar-SA"/>
        </w:rPr>
      </w:pPr>
      <w:r>
        <w:rPr>
          <w:rFonts w:hint="eastAsia" w:ascii="楷体" w:hAnsi="楷体" w:eastAsia="楷体" w:cstheme="minorBidi"/>
          <w:kern w:val="2"/>
          <w:sz w:val="36"/>
          <w:szCs w:val="36"/>
          <w:lang w:val="en-US" w:eastAsia="zh-CN" w:bidi="ar-SA"/>
        </w:rPr>
        <w:drawing>
          <wp:inline distT="0" distB="0" distL="114300" distR="114300">
            <wp:extent cx="4762500" cy="3571875"/>
            <wp:effectExtent l="0" t="0" r="0" b="9525"/>
            <wp:docPr id="14" name="图片 14" descr="4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4545"/>
                    <pic:cNvPicPr>
                      <a:picLocks noChangeAspect="1"/>
                    </pic:cNvPicPr>
                  </pic:nvPicPr>
                  <pic:blipFill>
                    <a:blip r:embed="rId14"/>
                    <a:stretch>
                      <a:fillRect/>
                    </a:stretch>
                  </pic:blipFill>
                  <pic:spPr>
                    <a:xfrm>
                      <a:off x="0" y="0"/>
                      <a:ext cx="4762500" cy="3571875"/>
                    </a:xfrm>
                    <a:prstGeom prst="rect">
                      <a:avLst/>
                    </a:prstGeom>
                  </pic:spPr>
                </pic:pic>
              </a:graphicData>
            </a:graphic>
          </wp:inline>
        </w:drawing>
      </w:r>
      <w:r>
        <w:rPr>
          <w:rFonts w:ascii="宋体" w:hAnsi="宋体" w:eastAsia="宋体" w:cs="宋体"/>
          <w:sz w:val="24"/>
          <w:szCs w:val="24"/>
        </w:rPr>
        <w:br w:type="textWrapping"/>
      </w:r>
      <w:r>
        <w:rPr>
          <w:rFonts w:ascii="楷体" w:hAnsi="楷体" w:eastAsia="楷体" w:cs="楷体"/>
          <w:i w:val="0"/>
          <w:caps w:val="0"/>
          <w:color w:val="555555"/>
          <w:spacing w:val="0"/>
          <w:sz w:val="30"/>
          <w:szCs w:val="30"/>
          <w:shd w:val="clear" w:fill="FFFFFF"/>
        </w:rPr>
        <w:t xml:space="preserve">    </w:t>
      </w:r>
      <w:r>
        <w:rPr>
          <w:rFonts w:hint="eastAsia" w:ascii="楷体" w:hAnsi="楷体" w:eastAsia="楷体" w:cs="楷体"/>
          <w:i w:val="0"/>
          <w:caps w:val="0"/>
          <w:color w:val="555555"/>
          <w:spacing w:val="0"/>
          <w:sz w:val="30"/>
          <w:szCs w:val="30"/>
          <w:shd w:val="clear" w:fill="FFFFFF"/>
          <w:lang w:val="en-US" w:eastAsia="zh-CN"/>
        </w:rPr>
        <w:t xml:space="preserve"> </w:t>
      </w:r>
      <w:r>
        <w:rPr>
          <w:rFonts w:hint="eastAsia" w:ascii="楷体" w:hAnsi="楷体" w:eastAsia="楷体" w:cstheme="minorBidi"/>
          <w:kern w:val="2"/>
          <w:sz w:val="36"/>
          <w:szCs w:val="36"/>
          <w:lang w:val="en-US" w:eastAsia="zh-CN" w:bidi="ar-SA"/>
        </w:rPr>
        <w:t>王雷副局长在听取了上述汇报后充分肯定了协会所做的工作和此次赴长三角地区考察调研的成果，表示协会在“脱钩”后能主动转变工作思路，引入“轮值会长制”，敢于走出去、找差距，是对新形势下发展模式的积极探索，并进一步明确，协会虽然已经完成了“脱钩”手续，但依然是我市特检工作的重要组成部分，市局也将一如既往的支持协会的工作。王雷副局长还指出，今年是改革落地年，协会还有很多工作要做，希望协会着力提升工作人员的专业素养，壮大专家队伍，充分发挥各专业委员会的专家优势，在“按需维保”、“电梯保险”、“培训建设”等方面有所作为，在物联网应用于电梯应急救援和优化年检等方面充当政府的智囊团，通过电梯维保星级评定结合企业诚信体系建设实现行业自律，除加强与外省市商协会之间的跨地区交流外，也要重视与本市其他行业商协会的跨行业合作，同时也要求协会对原有的特种设备鉴定评审、培训等工作进行扩展和延伸，努力学习南方发达地区的先进经验，为我市特种设备行业的健康有序发展保驾护航。 </w:t>
      </w:r>
      <w:r>
        <w:rPr>
          <w:rFonts w:hint="eastAsia" w:ascii="楷体" w:hAnsi="楷体" w:eastAsia="楷体" w:cstheme="minorBidi"/>
          <w:kern w:val="2"/>
          <w:sz w:val="36"/>
          <w:szCs w:val="36"/>
          <w:lang w:val="en-US" w:eastAsia="zh-CN" w:bidi="ar-SA"/>
        </w:rPr>
        <w:br w:type="textWrapping"/>
      </w:r>
      <w:r>
        <w:rPr>
          <w:rFonts w:hint="eastAsia" w:ascii="楷体" w:hAnsi="楷体" w:eastAsia="楷体" w:cstheme="minorBidi"/>
          <w:kern w:val="2"/>
          <w:sz w:val="36"/>
          <w:szCs w:val="36"/>
          <w:lang w:val="en-US" w:eastAsia="zh-CN" w:bidi="ar-SA"/>
        </w:rPr>
        <w:t>    王雷副局长还鼓励协会要在发展中永葆激情，勇于承担社会责任，积极开展公益活动，提升协会的公信力和社会影响力，要努力将“声誉打出去，形象树起来”，同时还表示政府部门也在积极落实改革政策，力求为企业创造更好的营商环境，希望协会能够在政府与企业之间发挥更大的作用，为实现我市“学深圳、赶深圳”的城市发展目标而共同努力。</w:t>
      </w:r>
    </w:p>
    <w:p>
      <w:pPr>
        <w:rPr>
          <w:rFonts w:hint="eastAsia" w:ascii="黑体" w:hAnsi="黑体" w:eastAsia="黑体"/>
          <w:sz w:val="28"/>
          <w:szCs w:val="28"/>
          <w:shd w:val="pct10" w:color="auto" w:fill="FFFFFF"/>
          <w:lang w:eastAsia="zh-CN"/>
        </w:rPr>
      </w:pPr>
    </w:p>
    <w:p>
      <w:pPr>
        <w:rPr>
          <w:rFonts w:hint="eastAsia" w:ascii="黑体" w:hAnsi="黑体" w:eastAsia="黑体"/>
          <w:sz w:val="28"/>
          <w:szCs w:val="28"/>
          <w:shd w:val="pct10" w:color="auto" w:fill="FFFFFF"/>
          <w:lang w:eastAsia="zh-CN"/>
        </w:rPr>
      </w:pPr>
    </w:p>
    <w:p>
      <w:pPr>
        <w:rPr>
          <w:rFonts w:hint="eastAsia" w:ascii="黑体" w:hAnsi="黑体" w:eastAsia="黑体"/>
          <w:sz w:val="28"/>
          <w:szCs w:val="28"/>
          <w:shd w:val="pct10" w:color="auto" w:fill="FFFFFF"/>
          <w:lang w:eastAsia="zh-CN"/>
        </w:rPr>
      </w:pPr>
    </w:p>
    <w:p>
      <w:pPr>
        <w:rPr>
          <w:rFonts w:hint="eastAsia" w:ascii="黑体" w:hAnsi="黑体" w:eastAsia="黑体"/>
          <w:sz w:val="28"/>
          <w:szCs w:val="28"/>
          <w:shd w:val="pct10" w:color="auto" w:fill="FFFFFF"/>
          <w:lang w:eastAsia="zh-CN"/>
        </w:rPr>
      </w:pPr>
    </w:p>
    <w:p>
      <w:pPr>
        <w:rPr>
          <w:rFonts w:hint="eastAsia" w:ascii="黑体" w:hAnsi="黑体" w:eastAsia="黑体"/>
          <w:sz w:val="28"/>
          <w:szCs w:val="28"/>
          <w:shd w:val="pct10" w:color="auto" w:fill="FFFFFF"/>
          <w:lang w:eastAsia="zh-CN"/>
        </w:rPr>
      </w:pPr>
    </w:p>
    <w:p>
      <w:pPr>
        <w:rPr>
          <w:rFonts w:hint="eastAsia" w:ascii="黑体" w:hAnsi="黑体" w:eastAsia="黑体"/>
          <w:sz w:val="28"/>
          <w:szCs w:val="28"/>
          <w:shd w:val="pct10" w:color="auto" w:fill="FFFFFF"/>
          <w:lang w:eastAsia="zh-CN"/>
        </w:rPr>
      </w:pPr>
    </w:p>
    <w:p>
      <w:pPr>
        <w:rPr>
          <w:rFonts w:hint="eastAsia" w:ascii="黑体" w:hAnsi="黑体" w:eastAsia="黑体"/>
          <w:sz w:val="28"/>
          <w:szCs w:val="28"/>
          <w:shd w:val="pct10" w:color="auto" w:fill="FFFFFF"/>
          <w:lang w:eastAsia="zh-CN"/>
        </w:rPr>
      </w:pPr>
    </w:p>
    <w:p>
      <w:pPr>
        <w:rPr>
          <w:rFonts w:hint="eastAsia" w:ascii="黑体" w:hAnsi="黑体" w:eastAsia="黑体"/>
          <w:sz w:val="28"/>
          <w:szCs w:val="28"/>
          <w:shd w:val="pct10" w:color="auto" w:fill="FFFFFF"/>
          <w:lang w:eastAsia="zh-CN"/>
        </w:rPr>
      </w:pPr>
    </w:p>
    <w:p>
      <w:pPr>
        <w:rPr>
          <w:rFonts w:hint="eastAsia" w:ascii="黑体" w:hAnsi="黑体" w:eastAsia="黑体"/>
          <w:sz w:val="28"/>
          <w:szCs w:val="28"/>
          <w:shd w:val="pct10" w:color="auto" w:fill="FFFFFF"/>
          <w:lang w:eastAsia="zh-CN"/>
        </w:rPr>
      </w:pPr>
    </w:p>
    <w:p>
      <w:pPr>
        <w:rPr>
          <w:rFonts w:hint="eastAsia" w:ascii="黑体" w:hAnsi="黑体" w:eastAsia="黑体"/>
          <w:sz w:val="28"/>
          <w:szCs w:val="28"/>
          <w:shd w:val="pct10" w:color="auto" w:fill="FFFFFF"/>
          <w:lang w:eastAsia="zh-CN"/>
        </w:rPr>
      </w:pPr>
      <w:r>
        <w:rPr>
          <w:rFonts w:hint="eastAsia" w:ascii="黑体" w:hAnsi="黑体" w:eastAsia="黑体"/>
          <w:sz w:val="28"/>
          <w:szCs w:val="28"/>
          <w:shd w:val="pct10" w:color="auto" w:fill="FFFFFF"/>
          <w:lang w:eastAsia="zh-CN"/>
        </w:rPr>
        <w:t>会员动态</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Theme="minorEastAsia" w:hAnsiTheme="minorEastAsia" w:eastAsiaTheme="minorEastAsia" w:cstheme="minorBidi"/>
          <w:b/>
          <w:kern w:val="2"/>
          <w:sz w:val="36"/>
          <w:szCs w:val="36"/>
          <w:lang w:val="en-US" w:eastAsia="zh-CN" w:bidi="ar-SA"/>
        </w:rPr>
      </w:pPr>
      <w:r>
        <w:rPr>
          <w:rFonts w:hint="eastAsia" w:asciiTheme="minorEastAsia" w:hAnsiTheme="minorEastAsia" w:eastAsiaTheme="minorEastAsia" w:cstheme="minorBidi"/>
          <w:b/>
          <w:kern w:val="2"/>
          <w:sz w:val="36"/>
          <w:szCs w:val="36"/>
          <w:lang w:val="en-US" w:eastAsia="zh-CN" w:bidi="ar-SA"/>
        </w:rPr>
        <w:t>精锐出战，攻坚克难</w:t>
      </w:r>
    </w:p>
    <w:p>
      <w:pPr>
        <w:jc w:val="center"/>
        <w:rPr>
          <w:rFonts w:hint="eastAsia" w:asciiTheme="minorEastAsia" w:hAnsiTheme="minorEastAsia" w:eastAsiaTheme="minorEastAsia" w:cstheme="minorBidi"/>
          <w:b/>
          <w:kern w:val="2"/>
          <w:sz w:val="36"/>
          <w:szCs w:val="36"/>
          <w:lang w:val="en-US" w:eastAsia="zh-CN" w:bidi="ar-SA"/>
        </w:rPr>
      </w:pPr>
      <w:r>
        <w:rPr>
          <w:rFonts w:hint="eastAsia" w:asciiTheme="minorEastAsia" w:hAnsiTheme="minorEastAsia" w:eastAsiaTheme="minorEastAsia" w:cstheme="minorBidi"/>
          <w:b/>
          <w:kern w:val="2"/>
          <w:sz w:val="36"/>
          <w:szCs w:val="36"/>
          <w:lang w:val="en-US" w:eastAsia="zh-CN" w:bidi="ar-SA"/>
        </w:rPr>
        <w:drawing>
          <wp:inline distT="0" distB="0" distL="114300" distR="114300">
            <wp:extent cx="4762500" cy="2833370"/>
            <wp:effectExtent l="0" t="0" r="0" b="5080"/>
            <wp:docPr id="15" name="图片 15" descr="0110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0110121"/>
                    <pic:cNvPicPr>
                      <a:picLocks noChangeAspect="1"/>
                    </pic:cNvPicPr>
                  </pic:nvPicPr>
                  <pic:blipFill>
                    <a:blip r:embed="rId15"/>
                    <a:stretch>
                      <a:fillRect/>
                    </a:stretch>
                  </pic:blipFill>
                  <pic:spPr>
                    <a:xfrm>
                      <a:off x="0" y="0"/>
                      <a:ext cx="4762500" cy="2833370"/>
                    </a:xfrm>
                    <a:prstGeom prst="rect">
                      <a:avLst/>
                    </a:prstGeom>
                  </pic:spPr>
                </pic:pic>
              </a:graphicData>
            </a:graphic>
          </wp:inline>
        </w:drawing>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楷体" w:hAnsi="楷体" w:eastAsia="楷体" w:cstheme="minorBidi"/>
          <w:kern w:val="2"/>
          <w:sz w:val="36"/>
          <w:szCs w:val="36"/>
          <w:lang w:val="en-US" w:eastAsia="zh-CN" w:bidi="ar-SA"/>
        </w:rPr>
      </w:pPr>
      <w:r>
        <w:rPr>
          <w:rFonts w:hint="eastAsia" w:ascii="楷体" w:hAnsi="楷体" w:eastAsia="楷体" w:cstheme="minorBidi"/>
          <w:kern w:val="2"/>
          <w:sz w:val="36"/>
          <w:szCs w:val="36"/>
          <w:lang w:val="en-US" w:eastAsia="zh-CN" w:bidi="ar-SA"/>
        </w:rPr>
        <w:t>    2020年4月7日至4月11日，容器管道科以年轻人员为主组成的9人现场检验团队开展了董家口海湾化学苯乙烯装置区管道首检工作，共计检验完成1305条管线。</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楷体" w:hAnsi="楷体" w:eastAsia="楷体" w:cstheme="minorBidi"/>
          <w:kern w:val="2"/>
          <w:sz w:val="36"/>
          <w:szCs w:val="36"/>
          <w:lang w:val="en-US" w:eastAsia="zh-CN" w:bidi="ar-SA"/>
        </w:rPr>
      </w:pPr>
      <w:r>
        <w:rPr>
          <w:rFonts w:hint="eastAsia" w:ascii="楷体" w:hAnsi="楷体" w:eastAsia="楷体" w:cstheme="minorBidi"/>
          <w:kern w:val="2"/>
          <w:sz w:val="36"/>
          <w:szCs w:val="36"/>
          <w:lang w:val="en-US" w:eastAsia="zh-CN" w:bidi="ar-SA"/>
        </w:rPr>
        <w:t>       海湾化学停产检修时间短、工作量大是这次检验任务的突出特点，特别是疫情防控期间，更增加了检验难度，在这种情况下，我们海湾化学检验团队发扬特检的四特精神，按照市院领导的要求，在全力做好安全防护工作的前提下，进行检验任务，既要保证检验标准，也要保证按期完成。进入厂区的9名同志，不怕苦、不怕累，无惧风雨、登高爬下，积极开展检验工作，很好的展现了特检工作的职业操守。  </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楷体" w:hAnsi="楷体" w:eastAsia="楷体" w:cstheme="minorBidi"/>
          <w:kern w:val="2"/>
          <w:sz w:val="36"/>
          <w:szCs w:val="36"/>
          <w:lang w:val="en-US" w:eastAsia="zh-CN" w:bidi="ar-SA"/>
        </w:rPr>
      </w:pPr>
      <w:r>
        <w:rPr>
          <w:rFonts w:hint="eastAsia" w:ascii="楷体" w:hAnsi="楷体" w:eastAsia="楷体" w:cstheme="minorBidi"/>
          <w:kern w:val="2"/>
          <w:sz w:val="36"/>
          <w:szCs w:val="36"/>
          <w:lang w:val="en-US" w:eastAsia="zh-CN" w:bidi="ar-SA"/>
        </w:rPr>
        <w:t>       在现场检验过程中，检验人员进行了管线梳理，及时更正报检台账与现场设备不一致的地方，既锻炼了现场检验的实践能力，又体现了我院检验人员的高水准。晚上回到住处，及时更正最新的台账表、修正管道单线图，海湾化学团队成员经常加班至深夜，通宵达旦地进行资料审查。4月11日，董家口地区普降中雨，检验人员克服困难，从早7:30至晚18:00争分夺秒冒雨开展工作，保质保量地进行检验工作。此次检验共更正单线图200余条，排除非压力管道20余条，最终完成4大装置区域内的1305条管线检验，并针对其中400余条GC1高危害介质管道进行了重点检验，既对受检单位的台账信息进行了更新完备，也使检验工作得到了准确信息。</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楷体" w:hAnsi="楷体" w:eastAsia="楷体" w:cstheme="minorBidi"/>
          <w:kern w:val="2"/>
          <w:sz w:val="36"/>
          <w:szCs w:val="36"/>
          <w:lang w:val="en-US" w:eastAsia="zh-CN" w:bidi="ar-SA"/>
        </w:rPr>
      </w:pPr>
      <w:r>
        <w:rPr>
          <w:rFonts w:hint="eastAsia" w:ascii="楷体" w:hAnsi="楷体" w:eastAsia="楷体" w:cstheme="minorBidi"/>
          <w:kern w:val="2"/>
          <w:sz w:val="36"/>
          <w:szCs w:val="36"/>
          <w:lang w:val="en-US" w:eastAsia="zh-CN" w:bidi="ar-SA"/>
        </w:rPr>
        <w:t>        当然，在检验过程中不可避免的出现很多台账与现场有出入的问题，海湾化学检验团队成员及时与受检单位、探伤公司协商沟通，出现问题及时处置，每日召开现场三方碰头会议，对装置区各检验任务的检验准备工作进行完备。此次大项目检验任务，共计协调各方人员20余名，对划分的4个装置区域总计长度40km的管线，模块化推进，精准理线，容器管道科检验人员平均每日理线300余条，人均步行2万步，不辞辛劳，不畏艰难，保证检验数据真实可靠。</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楷体" w:hAnsi="楷体" w:eastAsia="楷体" w:cstheme="minorBidi"/>
          <w:kern w:val="2"/>
          <w:sz w:val="36"/>
          <w:szCs w:val="36"/>
          <w:lang w:val="en-US" w:eastAsia="zh-CN" w:bidi="ar-SA"/>
        </w:rPr>
      </w:pPr>
      <w:r>
        <w:rPr>
          <w:rFonts w:hint="eastAsia" w:ascii="楷体" w:hAnsi="楷体" w:eastAsia="楷体" w:cstheme="minorBidi"/>
          <w:kern w:val="2"/>
          <w:sz w:val="36"/>
          <w:szCs w:val="36"/>
          <w:lang w:val="en-US" w:eastAsia="zh-CN" w:bidi="ar-SA"/>
        </w:rPr>
        <w:t>      经过此次检验任务，提升了容器管道科对接检验大项目的检验能力，也为市特检院打出了市场形象——“高效、优质”。我院检验人员的业务能力、检验流程都显示出了科学性、可靠性，在现阶段确保安全生产的环境下，特检行业的安全保障越来越重要，责任与使命激励着我们奋力前行，沐风栉雨中我们勇挑重任，为企业负责，为生产安全护航，为社会稳定出力，为特检行业的发展积极贡献一份力量。</w:t>
      </w:r>
    </w:p>
    <w:p>
      <w:pPr>
        <w:rPr>
          <w:rFonts w:hint="eastAsia" w:ascii="黑体" w:hAnsi="黑体" w:eastAsia="黑体"/>
          <w:sz w:val="28"/>
          <w:szCs w:val="28"/>
          <w:shd w:val="pct10" w:color="auto" w:fill="FFFFFF"/>
          <w:lang w:eastAsia="zh-CN"/>
        </w:rPr>
      </w:pPr>
      <w:r>
        <w:rPr>
          <w:rFonts w:hint="eastAsia" w:ascii="黑体" w:hAnsi="黑体" w:eastAsia="黑体"/>
          <w:sz w:val="28"/>
          <w:szCs w:val="28"/>
          <w:shd w:val="pct10" w:color="auto" w:fill="FFFFFF"/>
          <w:lang w:eastAsia="zh-CN"/>
        </w:rPr>
        <w:t>安全教育</w:t>
      </w:r>
    </w:p>
    <w:p>
      <w:pPr>
        <w:jc w:val="center"/>
        <w:rPr>
          <w:rFonts w:hint="eastAsia" w:ascii="楷体" w:hAnsi="楷体" w:eastAsia="楷体" w:cstheme="minorBidi"/>
          <w:kern w:val="2"/>
          <w:sz w:val="36"/>
          <w:szCs w:val="36"/>
          <w:lang w:val="en-US" w:eastAsia="zh-CN" w:bidi="ar-SA"/>
        </w:rPr>
      </w:pPr>
      <w:r>
        <w:rPr>
          <w:rFonts w:hint="eastAsia" w:asciiTheme="minorEastAsia" w:hAnsiTheme="minorEastAsia"/>
          <w:b/>
          <w:sz w:val="44"/>
          <w:szCs w:val="44"/>
          <w:lang w:val="en-US" w:eastAsia="zh-CN"/>
        </w:rPr>
        <w:t>什么情况下电梯会滑梯？</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textAlignment w:val="baseline"/>
        <w:rPr>
          <w:rFonts w:hint="eastAsia" w:ascii="楷体" w:hAnsi="楷体" w:eastAsia="楷体" w:cs="楷体"/>
          <w:i w:val="0"/>
          <w:caps w:val="0"/>
          <w:color w:val="FFFFFF"/>
          <w:spacing w:val="0"/>
          <w:sz w:val="36"/>
          <w:szCs w:val="36"/>
        </w:rPr>
      </w:pPr>
      <w:r>
        <w:rPr>
          <w:rStyle w:val="14"/>
          <w:rFonts w:hint="eastAsia" w:ascii="楷体" w:hAnsi="楷体" w:eastAsia="楷体" w:cs="楷体"/>
          <w:i w:val="0"/>
          <w:caps w:val="0"/>
          <w:color w:val="FFFFFF"/>
          <w:spacing w:val="0"/>
          <w:sz w:val="36"/>
          <w:szCs w:val="36"/>
          <w:shd w:val="clear" w:fill="009900"/>
          <w:vertAlign w:val="baseline"/>
        </w:rPr>
        <w:t>发生滑梯的情况</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楷体" w:hAnsi="楷体" w:eastAsia="楷体" w:cstheme="minorBidi"/>
          <w:kern w:val="2"/>
          <w:sz w:val="36"/>
          <w:szCs w:val="36"/>
          <w:lang w:val="en-US" w:eastAsia="zh-CN" w:bidi="ar-SA"/>
        </w:rPr>
      </w:pPr>
      <w:r>
        <w:rPr>
          <w:rFonts w:hint="default" w:ascii="楷体" w:hAnsi="楷体" w:eastAsia="楷体" w:cstheme="minorBidi"/>
          <w:kern w:val="2"/>
          <w:sz w:val="36"/>
          <w:szCs w:val="36"/>
          <w:lang w:val="en-US" w:eastAsia="zh-CN" w:bidi="ar-SA"/>
        </w:rPr>
        <w:t>1、超载时，超载保护无效。</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楷体" w:hAnsi="楷体" w:eastAsia="楷体" w:cstheme="minorBidi"/>
          <w:kern w:val="2"/>
          <w:sz w:val="36"/>
          <w:szCs w:val="36"/>
          <w:lang w:val="en-US" w:eastAsia="zh-CN" w:bidi="ar-SA"/>
        </w:rPr>
      </w:pPr>
      <w:r>
        <w:rPr>
          <w:rFonts w:hint="default" w:ascii="楷体" w:hAnsi="楷体" w:eastAsia="楷体" w:cstheme="minorBidi"/>
          <w:kern w:val="2"/>
          <w:sz w:val="36"/>
          <w:szCs w:val="36"/>
          <w:lang w:val="en-US" w:eastAsia="zh-CN" w:bidi="ar-SA"/>
        </w:rPr>
        <w:t>2、对重不平衡。</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楷体" w:hAnsi="楷体" w:eastAsia="楷体" w:cstheme="minorBidi"/>
          <w:kern w:val="2"/>
          <w:sz w:val="36"/>
          <w:szCs w:val="36"/>
          <w:lang w:val="en-US" w:eastAsia="zh-CN" w:bidi="ar-SA"/>
        </w:rPr>
      </w:pPr>
      <w:r>
        <w:rPr>
          <w:rFonts w:hint="default" w:ascii="楷体" w:hAnsi="楷体" w:eastAsia="楷体" w:cstheme="minorBidi"/>
          <w:kern w:val="2"/>
          <w:sz w:val="36"/>
          <w:szCs w:val="36"/>
          <w:lang w:val="en-US" w:eastAsia="zh-CN" w:bidi="ar-SA"/>
        </w:rPr>
        <w:t>3、曳引机启动过快。</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楷体" w:hAnsi="楷体" w:eastAsia="楷体" w:cstheme="minorBidi"/>
          <w:kern w:val="2"/>
          <w:sz w:val="36"/>
          <w:szCs w:val="36"/>
          <w:lang w:val="en-US" w:eastAsia="zh-CN" w:bidi="ar-SA"/>
        </w:rPr>
      </w:pPr>
      <w:r>
        <w:rPr>
          <w:rFonts w:hint="default" w:ascii="楷体" w:hAnsi="楷体" w:eastAsia="楷体" w:cstheme="minorBidi"/>
          <w:kern w:val="2"/>
          <w:sz w:val="36"/>
          <w:szCs w:val="36"/>
          <w:lang w:val="en-US" w:eastAsia="zh-CN" w:bidi="ar-SA"/>
        </w:rPr>
        <w:t>4、钢丝绳磨损严重。</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baseline"/>
        <w:rPr>
          <w:rFonts w:hint="eastAsia" w:ascii="楷体" w:hAnsi="楷体" w:eastAsia="楷体" w:cs="楷体"/>
          <w:color w:val="FFFFFF"/>
          <w:sz w:val="36"/>
          <w:szCs w:val="36"/>
        </w:rPr>
      </w:pPr>
      <w:r>
        <w:rPr>
          <w:rStyle w:val="14"/>
          <w:rFonts w:hint="eastAsia" w:ascii="楷体" w:hAnsi="楷体" w:eastAsia="楷体" w:cs="楷体"/>
          <w:i w:val="0"/>
          <w:caps w:val="0"/>
          <w:color w:val="FFFFFF"/>
          <w:spacing w:val="0"/>
          <w:sz w:val="36"/>
          <w:szCs w:val="36"/>
          <w:shd w:val="clear" w:fill="009900"/>
          <w:vertAlign w:val="baseline"/>
        </w:rPr>
        <w:t>原因分析</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textAlignment w:val="baseline"/>
        <w:rPr>
          <w:rFonts w:hint="default" w:ascii="Helvetica" w:hAnsi="Helvetica" w:eastAsia="Helvetica" w:cs="Helvetica"/>
          <w:color w:val="3E3E3E"/>
          <w:sz w:val="24"/>
          <w:szCs w:val="24"/>
        </w:rPr>
      </w:pP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textAlignment w:val="baseline"/>
        <w:rPr>
          <w:rFonts w:hint="eastAsia" w:ascii="楷体" w:hAnsi="楷体" w:eastAsia="楷体" w:cs="楷体"/>
          <w:color w:val="3E3E3E"/>
          <w:sz w:val="36"/>
          <w:szCs w:val="36"/>
        </w:rPr>
      </w:pPr>
      <w:r>
        <w:rPr>
          <w:rFonts w:hint="eastAsia" w:ascii="楷体" w:hAnsi="楷体" w:eastAsia="楷体" w:cs="楷体"/>
          <w:i w:val="0"/>
          <w:caps w:val="0"/>
          <w:color w:val="3E3E3E"/>
          <w:spacing w:val="0"/>
          <w:sz w:val="36"/>
          <w:szCs w:val="36"/>
          <w:shd w:val="clear" w:fill="FFFFFF"/>
          <w:vertAlign w:val="baseline"/>
        </w:rPr>
        <w:t>一、超载时，轿底用于限重的行程开关没有动作，电梯依然可以运行。在到达某一楼层停车后，可能会下滑。可做超载试验，调整行程开关与轿底间距。</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textAlignment w:val="baseline"/>
        <w:rPr>
          <w:rFonts w:hint="eastAsia" w:ascii="楷体" w:hAnsi="楷体" w:eastAsia="楷体" w:cs="楷体"/>
          <w:color w:val="3E3E3E"/>
          <w:sz w:val="36"/>
          <w:szCs w:val="36"/>
        </w:rPr>
      </w:pP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textAlignment w:val="baseline"/>
        <w:rPr>
          <w:rFonts w:hint="eastAsia" w:ascii="楷体" w:hAnsi="楷体" w:eastAsia="楷体" w:cs="楷体"/>
          <w:color w:val="3E3E3E"/>
          <w:sz w:val="36"/>
          <w:szCs w:val="36"/>
        </w:rPr>
      </w:pPr>
      <w:r>
        <w:rPr>
          <w:rFonts w:hint="eastAsia" w:ascii="楷体" w:hAnsi="楷体" w:eastAsia="楷体" w:cs="楷体"/>
          <w:i w:val="0"/>
          <w:caps w:val="0"/>
          <w:color w:val="3E3E3E"/>
          <w:spacing w:val="0"/>
          <w:sz w:val="36"/>
          <w:szCs w:val="36"/>
          <w:shd w:val="clear" w:fill="FFFFFF"/>
          <w:vertAlign w:val="baseline"/>
        </w:rPr>
        <w:t>二、在轿厢内均匀放置电梯额定载重量的物品，慢车将电梯与对重架运行同一水平，关闭主电源，手动缓慢松开抱闸，看轿厢和对重往那一边下滑，逐相应极少或增加对重块。</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textAlignment w:val="baseline"/>
        <w:rPr>
          <w:rFonts w:hint="eastAsia" w:ascii="楷体" w:hAnsi="楷体" w:eastAsia="楷体" w:cs="楷体"/>
          <w:color w:val="3E3E3E"/>
          <w:sz w:val="36"/>
          <w:szCs w:val="36"/>
        </w:rPr>
      </w:pPr>
      <w:r>
        <w:rPr>
          <w:rFonts w:hint="eastAsia" w:ascii="楷体" w:hAnsi="楷体" w:eastAsia="楷体" w:cs="楷体"/>
          <w:i w:val="0"/>
          <w:caps w:val="0"/>
          <w:color w:val="3E3E3E"/>
          <w:spacing w:val="0"/>
          <w:sz w:val="36"/>
          <w:szCs w:val="36"/>
          <w:shd w:val="clear" w:fill="FFFFFF"/>
          <w:vertAlign w:val="baseline"/>
        </w:rPr>
        <w:t>三、电梯开始运行或到达选定楼层时曳引机减速时间过短，可导致钢丝绳打滑，可调整减速距离。</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textAlignment w:val="baseline"/>
        <w:rPr>
          <w:rFonts w:hint="eastAsia" w:ascii="楷体" w:hAnsi="楷体" w:eastAsia="楷体" w:cs="楷体"/>
          <w:color w:val="3E3E3E"/>
          <w:sz w:val="36"/>
          <w:szCs w:val="36"/>
        </w:rPr>
      </w:pPr>
      <w:r>
        <w:rPr>
          <w:rFonts w:hint="eastAsia" w:ascii="楷体" w:hAnsi="楷体" w:eastAsia="楷体" w:cs="楷体"/>
          <w:i w:val="0"/>
          <w:caps w:val="0"/>
          <w:color w:val="3E3E3E"/>
          <w:spacing w:val="0"/>
          <w:sz w:val="36"/>
          <w:szCs w:val="36"/>
          <w:shd w:val="clear" w:fill="FFFFFF"/>
          <w:vertAlign w:val="baseline"/>
        </w:rPr>
        <w:t>四、钢丝绳磨损严重也可导致滑梯，需更换。</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textAlignment w:val="baseline"/>
        <w:rPr>
          <w:rFonts w:hint="default" w:ascii="Helvetica" w:hAnsi="Helvetica" w:eastAsia="Helvetica" w:cs="Helvetica"/>
          <w:color w:val="3E3E3E"/>
          <w:sz w:val="24"/>
          <w:szCs w:val="24"/>
        </w:rPr>
      </w:pPr>
      <w:r>
        <w:rPr>
          <w:rFonts w:hint="eastAsia" w:ascii="楷体" w:hAnsi="楷体" w:eastAsia="楷体" w:cs="楷体"/>
          <w:i w:val="0"/>
          <w:caps w:val="0"/>
          <w:color w:val="3E3E3E"/>
          <w:spacing w:val="0"/>
          <w:sz w:val="36"/>
          <w:szCs w:val="36"/>
          <w:shd w:val="clear" w:fill="FFFFFF"/>
          <w:vertAlign w:val="baseline"/>
        </w:rPr>
        <w:t>五、另外：各钢丝绳之间拉力不均衡，隔层板的位置出现移位，也会出现电梯不能平层，电压，电流波动变化也有影响，这就要看控制柜的配置了。</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baseline"/>
        <w:rPr>
          <w:rFonts w:hint="default" w:ascii="Helvetica" w:hAnsi="Helvetica" w:eastAsia="Helvetica" w:cs="Helvetica"/>
          <w:color w:val="3E3E3E"/>
          <w:sz w:val="24"/>
          <w:szCs w:val="24"/>
        </w:rPr>
      </w:pPr>
      <w:r>
        <w:rPr>
          <w:rStyle w:val="14"/>
          <w:rFonts w:hint="eastAsia" w:ascii="楷体" w:hAnsi="楷体" w:eastAsia="楷体" w:cs="楷体"/>
          <w:i w:val="0"/>
          <w:caps w:val="0"/>
          <w:color w:val="FFFFFF"/>
          <w:spacing w:val="0"/>
          <w:sz w:val="36"/>
          <w:szCs w:val="36"/>
          <w:shd w:val="clear" w:fill="009900"/>
          <w:vertAlign w:val="baseline"/>
        </w:rPr>
        <w:t>电梯自动溜车的故障排除方法</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textAlignment w:val="baseline"/>
        <w:rPr>
          <w:rFonts w:hint="eastAsia" w:ascii="楷体" w:hAnsi="楷体" w:eastAsia="楷体" w:cs="楷体"/>
          <w:color w:val="3E3E3E"/>
          <w:sz w:val="36"/>
          <w:szCs w:val="36"/>
        </w:rPr>
      </w:pPr>
      <w:r>
        <w:rPr>
          <w:rFonts w:hint="eastAsia" w:ascii="楷体" w:hAnsi="楷体" w:eastAsia="楷体" w:cs="楷体"/>
          <w:i w:val="0"/>
          <w:caps w:val="0"/>
          <w:color w:val="3E3E3E"/>
          <w:spacing w:val="0"/>
          <w:sz w:val="36"/>
          <w:szCs w:val="36"/>
          <w:shd w:val="clear" w:fill="FFFFFF"/>
          <w:vertAlign w:val="baseline"/>
        </w:rPr>
        <w:t>A、调整制动器，使之恢复正常工作；</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textAlignment w:val="baseline"/>
        <w:rPr>
          <w:rFonts w:hint="eastAsia" w:ascii="楷体" w:hAnsi="楷体" w:eastAsia="楷体" w:cs="楷体"/>
          <w:color w:val="3E3E3E"/>
          <w:sz w:val="36"/>
          <w:szCs w:val="36"/>
        </w:rPr>
      </w:pPr>
      <w:r>
        <w:rPr>
          <w:rFonts w:hint="eastAsia" w:ascii="楷体" w:hAnsi="楷体" w:eastAsia="楷体" w:cs="楷体"/>
          <w:i w:val="0"/>
          <w:caps w:val="0"/>
          <w:color w:val="3E3E3E"/>
          <w:spacing w:val="0"/>
          <w:sz w:val="36"/>
          <w:szCs w:val="36"/>
          <w:shd w:val="clear" w:fill="FFFFFF"/>
          <w:vertAlign w:val="baseline"/>
        </w:rPr>
        <w:t>B、检查曳引轮是否已磨损到槽形或更换轮；</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textAlignment w:val="baseline"/>
        <w:rPr>
          <w:rFonts w:hint="eastAsia" w:ascii="楷体" w:hAnsi="楷体" w:eastAsia="楷体" w:cs="楷体"/>
          <w:color w:val="3E3E3E"/>
          <w:sz w:val="36"/>
          <w:szCs w:val="36"/>
        </w:rPr>
      </w:pPr>
      <w:r>
        <w:rPr>
          <w:rFonts w:hint="eastAsia" w:ascii="楷体" w:hAnsi="楷体" w:eastAsia="楷体" w:cs="楷体"/>
          <w:i w:val="0"/>
          <w:caps w:val="0"/>
          <w:color w:val="3E3E3E"/>
          <w:spacing w:val="0"/>
          <w:sz w:val="36"/>
          <w:szCs w:val="36"/>
          <w:shd w:val="clear" w:fill="FFFFFF"/>
          <w:vertAlign w:val="baseline"/>
        </w:rPr>
        <w:t>C、按规定调整好重量差；</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textAlignment w:val="baseline"/>
        <w:rPr>
          <w:rFonts w:hint="eastAsia" w:ascii="楷体" w:hAnsi="楷体" w:eastAsia="楷体" w:cs="楷体"/>
          <w:color w:val="3E3E3E"/>
          <w:sz w:val="36"/>
          <w:szCs w:val="36"/>
        </w:rPr>
      </w:pPr>
      <w:r>
        <w:rPr>
          <w:rFonts w:hint="eastAsia" w:ascii="楷体" w:hAnsi="楷体" w:eastAsia="楷体" w:cs="楷体"/>
          <w:i w:val="0"/>
          <w:caps w:val="0"/>
          <w:color w:val="3E3E3E"/>
          <w:spacing w:val="0"/>
          <w:sz w:val="36"/>
          <w:szCs w:val="36"/>
          <w:shd w:val="clear" w:fill="FFFFFF"/>
          <w:vertAlign w:val="baseline"/>
        </w:rPr>
        <w:t>D、电梯轿厢不能超载运行；</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textAlignment w:val="baseline"/>
        <w:rPr>
          <w:rFonts w:hint="eastAsia" w:ascii="楷体" w:hAnsi="楷体" w:eastAsia="楷体" w:cs="楷体"/>
          <w:color w:val="3E3E3E"/>
          <w:sz w:val="36"/>
          <w:szCs w:val="36"/>
        </w:rPr>
      </w:pPr>
      <w:r>
        <w:rPr>
          <w:rFonts w:hint="eastAsia" w:ascii="楷体" w:hAnsi="楷体" w:eastAsia="楷体" w:cs="楷体"/>
          <w:i w:val="0"/>
          <w:caps w:val="0"/>
          <w:color w:val="3E3E3E"/>
          <w:spacing w:val="0"/>
          <w:sz w:val="36"/>
          <w:szCs w:val="36"/>
          <w:shd w:val="clear" w:fill="FFFFFF"/>
          <w:vertAlign w:val="baseline"/>
        </w:rPr>
        <w:t>E、调整全部曳引钢丝绳所受张力，通过调节绳头组合弹簧的压紧程度，使各钢丝绳受力均衡。</w:t>
      </w:r>
    </w:p>
    <w:p>
      <w:pPr>
        <w:jc w:val="both"/>
        <w:rPr>
          <w:rFonts w:hint="eastAsia" w:ascii="黑体" w:hAnsi="黑体" w:eastAsia="黑体"/>
          <w:sz w:val="28"/>
          <w:szCs w:val="28"/>
          <w:shd w:val="pct10" w:color="auto" w:fill="FFFFFF"/>
          <w:lang w:eastAsia="zh-CN"/>
        </w:rPr>
      </w:pPr>
      <w:r>
        <w:rPr>
          <w:rFonts w:hint="eastAsia" w:ascii="黑体" w:hAnsi="黑体" w:eastAsia="黑体"/>
          <w:sz w:val="28"/>
          <w:szCs w:val="28"/>
          <w:shd w:val="pct10" w:color="auto" w:fill="FFFFFF"/>
          <w:lang w:eastAsia="zh-CN"/>
        </w:rPr>
        <w:t>案例分析</w:t>
      </w:r>
    </w:p>
    <w:p>
      <w:pPr>
        <w:jc w:val="both"/>
        <w:rPr>
          <w:rFonts w:hint="eastAsia" w:asciiTheme="minorEastAsia" w:hAnsiTheme="minorEastAsia" w:eastAsiaTheme="minorEastAsia" w:cstheme="minorBidi"/>
          <w:b/>
          <w:kern w:val="2"/>
          <w:sz w:val="44"/>
          <w:szCs w:val="44"/>
          <w:lang w:val="en-US" w:eastAsia="zh-CN" w:bidi="ar-SA"/>
        </w:rPr>
      </w:pPr>
      <w:r>
        <w:rPr>
          <w:rFonts w:hint="eastAsia" w:ascii="黑体" w:hAnsi="黑体" w:eastAsia="黑体"/>
          <w:sz w:val="28"/>
          <w:szCs w:val="28"/>
          <w:shd w:val="pct10" w:color="auto" w:fill="FFFFFF"/>
          <w:lang w:val="en-US" w:eastAsia="zh-CN"/>
        </w:rPr>
        <w:t>案例一</w:t>
      </w:r>
      <w:r>
        <w:rPr>
          <w:rStyle w:val="14"/>
          <w:rFonts w:ascii="微软雅黑" w:hAnsi="微软雅黑" w:eastAsia="微软雅黑" w:cs="微软雅黑"/>
          <w:i w:val="0"/>
          <w:caps w:val="0"/>
          <w:color w:val="333333"/>
          <w:spacing w:val="8"/>
          <w:sz w:val="24"/>
          <w:szCs w:val="24"/>
          <w:shd w:val="clear" w:fill="FFFFFF"/>
        </w:rPr>
        <w:t> </w:t>
      </w:r>
      <w:r>
        <w:rPr>
          <w:rStyle w:val="14"/>
          <w:rFonts w:hint="eastAsia" w:ascii="微软雅黑" w:hAnsi="微软雅黑" w:eastAsia="微软雅黑" w:cs="微软雅黑"/>
          <w:i w:val="0"/>
          <w:caps w:val="0"/>
          <w:color w:val="333333"/>
          <w:spacing w:val="8"/>
          <w:sz w:val="24"/>
          <w:szCs w:val="24"/>
          <w:shd w:val="clear" w:fill="FFFFFF"/>
          <w:lang w:val="en-US" w:eastAsia="zh-CN"/>
        </w:rPr>
        <w:t xml:space="preserve">   </w:t>
      </w:r>
      <w:r>
        <w:rPr>
          <w:rFonts w:hint="eastAsia" w:asciiTheme="minorEastAsia" w:hAnsiTheme="minorEastAsia" w:eastAsiaTheme="minorEastAsia" w:cstheme="minorBidi"/>
          <w:b/>
          <w:kern w:val="2"/>
          <w:sz w:val="44"/>
          <w:szCs w:val="44"/>
          <w:lang w:val="en-US" w:eastAsia="zh-CN" w:bidi="ar-SA"/>
        </w:rPr>
        <w:t>江苏常州嬉戏谷“环形过山车”</w:t>
      </w:r>
    </w:p>
    <w:p>
      <w:pPr>
        <w:pStyle w:val="11"/>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rightChars="0"/>
        <w:jc w:val="center"/>
        <w:rPr>
          <w:rStyle w:val="14"/>
          <w:rFonts w:hint="eastAsia" w:ascii="微软雅黑" w:hAnsi="微软雅黑" w:eastAsia="微软雅黑" w:cs="微软雅黑"/>
          <w:i w:val="0"/>
          <w:caps w:val="0"/>
          <w:color w:val="333333"/>
          <w:spacing w:val="0"/>
          <w:sz w:val="24"/>
          <w:szCs w:val="24"/>
          <w:shd w:val="clear" w:fill="FFFFFF"/>
          <w:lang w:eastAsia="zh-CN"/>
        </w:rPr>
      </w:pPr>
      <w:r>
        <w:rPr>
          <w:rStyle w:val="14"/>
          <w:rFonts w:hint="eastAsia" w:ascii="微软雅黑" w:hAnsi="微软雅黑" w:eastAsia="微软雅黑" w:cs="微软雅黑"/>
          <w:i w:val="0"/>
          <w:caps w:val="0"/>
          <w:color w:val="333333"/>
          <w:spacing w:val="0"/>
          <w:sz w:val="24"/>
          <w:szCs w:val="24"/>
          <w:shd w:val="clear" w:fill="FFFFFF"/>
          <w:lang w:eastAsia="zh-CN"/>
        </w:rPr>
        <w:drawing>
          <wp:inline distT="0" distB="0" distL="114300" distR="114300">
            <wp:extent cx="4762500" cy="3572510"/>
            <wp:effectExtent l="0" t="0" r="0" b="8890"/>
            <wp:docPr id="5" name="图片 5" descr="0101.web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0101.webp"/>
                    <pic:cNvPicPr>
                      <a:picLocks noChangeAspect="1"/>
                    </pic:cNvPicPr>
                  </pic:nvPicPr>
                  <pic:blipFill>
                    <a:blip r:embed="rId16"/>
                    <a:stretch>
                      <a:fillRect/>
                    </a:stretch>
                  </pic:blipFill>
                  <pic:spPr>
                    <a:xfrm>
                      <a:off x="0" y="0"/>
                      <a:ext cx="4762500" cy="3572510"/>
                    </a:xfrm>
                    <a:prstGeom prst="rect">
                      <a:avLst/>
                    </a:prstGeom>
                  </pic:spPr>
                </pic:pic>
              </a:graphicData>
            </a:graphic>
          </wp:inline>
        </w:drawing>
      </w:r>
    </w:p>
    <w:p>
      <w:pPr>
        <w:pStyle w:val="11"/>
        <w:keepNext w:val="0"/>
        <w:keepLines w:val="0"/>
        <w:widowControl/>
        <w:suppressLineNumbers w:val="0"/>
        <w:shd w:val="clear" w:fill="FFFFFF"/>
        <w:spacing w:before="0" w:beforeAutospacing="0" w:after="240" w:afterAutospacing="0"/>
        <w:ind w:left="0" w:right="0" w:firstLine="0"/>
        <w:rPr>
          <w:rFonts w:hint="eastAsia" w:ascii="黑体" w:hAnsi="黑体" w:eastAsia="黑体" w:cstheme="minorBidi"/>
          <w:kern w:val="2"/>
          <w:sz w:val="28"/>
          <w:szCs w:val="28"/>
          <w:shd w:val="pct10" w:color="auto" w:fill="FFFFFF"/>
          <w:lang w:val="en-US" w:eastAsia="zh-CN" w:bidi="ar-SA"/>
        </w:rPr>
      </w:pPr>
      <w:r>
        <w:rPr>
          <w:rFonts w:hint="eastAsia" w:ascii="黑体" w:hAnsi="黑体" w:eastAsia="黑体" w:cstheme="minorBidi"/>
          <w:kern w:val="2"/>
          <w:sz w:val="28"/>
          <w:szCs w:val="28"/>
          <w:shd w:val="pct10" w:color="auto" w:fill="FFFFFF"/>
          <w:lang w:val="en-US" w:eastAsia="zh-CN" w:bidi="ar-SA"/>
        </w:rPr>
        <w:t>(一)事故概况</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firstLine="720" w:firstLineChars="200"/>
        <w:textAlignment w:val="baseline"/>
        <w:rPr>
          <w:rFonts w:hint="eastAsia" w:ascii="楷体" w:hAnsi="楷体" w:eastAsia="楷体" w:cs="楷体"/>
          <w:i w:val="0"/>
          <w:caps w:val="0"/>
          <w:color w:val="3E3E3E"/>
          <w:spacing w:val="0"/>
          <w:sz w:val="36"/>
          <w:szCs w:val="36"/>
          <w:shd w:val="clear" w:fill="FFFFFF"/>
          <w:vertAlign w:val="baseline"/>
        </w:rPr>
      </w:pPr>
      <w:r>
        <w:rPr>
          <w:rFonts w:hint="eastAsia" w:ascii="楷体" w:hAnsi="楷体" w:eastAsia="楷体" w:cs="楷体"/>
          <w:i w:val="0"/>
          <w:caps w:val="0"/>
          <w:color w:val="3E3E3E"/>
          <w:spacing w:val="0"/>
          <w:sz w:val="36"/>
          <w:szCs w:val="36"/>
          <w:shd w:val="clear" w:fill="FFFFFF"/>
          <w:vertAlign w:val="baseline"/>
        </w:rPr>
        <w:t>2013年6月21日12时30分左右，江苏省常州市武进区嬉戏谷，环形过山车游乐项目。载有11名游客的列车在回站前最后一次冲上提升塔架刹车段时，未按正常流程回站、滞留在刹车段，同时主控面板报356号故障。在此情况下，操作人员立即按下急停开关，并启动了应急救援措施。第一套救援方案为采用链条放车，由于在操作台尝试进入特殊模式失败，进行了第二套救援方案:采用绞车放车，但尝试下来绞车也未能提起列车，第二套救援方案也失败，于是园方正式请求消防支援。</w:t>
      </w:r>
    </w:p>
    <w:p>
      <w:pPr>
        <w:pStyle w:val="11"/>
        <w:keepNext w:val="0"/>
        <w:keepLines w:val="0"/>
        <w:widowControl/>
        <w:suppressLineNumbers w:val="0"/>
        <w:shd w:val="clear" w:fill="FFFFFF"/>
        <w:spacing w:before="0" w:beforeAutospacing="0" w:after="240" w:afterAutospacing="0"/>
        <w:ind w:left="0" w:right="0" w:firstLine="0"/>
        <w:rPr>
          <w:rFonts w:hint="eastAsia" w:ascii="黑体" w:hAnsi="黑体" w:eastAsia="黑体" w:cstheme="minorBidi"/>
          <w:kern w:val="2"/>
          <w:sz w:val="28"/>
          <w:szCs w:val="28"/>
          <w:shd w:val="pct10" w:color="auto" w:fill="FFFFFF"/>
          <w:lang w:val="en-US" w:eastAsia="zh-CN" w:bidi="ar-SA"/>
        </w:rPr>
      </w:pPr>
      <w:r>
        <w:rPr>
          <w:rFonts w:hint="eastAsia" w:ascii="黑体" w:hAnsi="黑体" w:eastAsia="黑体" w:cstheme="minorBidi"/>
          <w:kern w:val="2"/>
          <w:sz w:val="28"/>
          <w:szCs w:val="28"/>
          <w:shd w:val="pct10" w:color="auto" w:fill="FFFFFF"/>
          <w:lang w:val="en-US" w:eastAsia="zh-CN" w:bidi="ar-SA"/>
        </w:rPr>
        <w:t>(二)事故原因分析</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firstLine="720" w:firstLineChars="200"/>
        <w:textAlignment w:val="baseline"/>
        <w:rPr>
          <w:rFonts w:hint="eastAsia" w:ascii="楷体" w:hAnsi="楷体" w:eastAsia="楷体" w:cs="楷体"/>
          <w:i w:val="0"/>
          <w:caps w:val="0"/>
          <w:color w:val="3E3E3E"/>
          <w:spacing w:val="0"/>
          <w:sz w:val="36"/>
          <w:szCs w:val="36"/>
          <w:shd w:val="clear" w:fill="FFFFFF"/>
          <w:vertAlign w:val="baseline"/>
        </w:rPr>
      </w:pPr>
      <w:r>
        <w:rPr>
          <w:rFonts w:hint="eastAsia" w:ascii="楷体" w:hAnsi="楷体" w:eastAsia="楷体" w:cs="楷体"/>
          <w:i w:val="0"/>
          <w:caps w:val="0"/>
          <w:color w:val="3E3E3E"/>
          <w:spacing w:val="0"/>
          <w:sz w:val="36"/>
          <w:szCs w:val="36"/>
          <w:shd w:val="clear" w:fill="FFFFFF"/>
          <w:vertAlign w:val="baseline"/>
        </w:rPr>
        <w:t>经查，造成列车滞留的直接原因是:传感器故障导致控制系统无法判断车行方向，系统保护将车停在提升塔架顶部刹车段。而江苏嬉戏族有限公司虽建立了紧急救援预案，平时也进行了应急演练，但是预案中对紧急情况预估不足，紧急救援操作不当造成自救不能正常进行，致使乘客滞留时间过长，也是致使此次故障被扩大为事故的重要原因。</w:t>
      </w:r>
    </w:p>
    <w:p>
      <w:pPr>
        <w:pStyle w:val="11"/>
        <w:keepNext w:val="0"/>
        <w:keepLines w:val="0"/>
        <w:widowControl/>
        <w:suppressLineNumbers w:val="0"/>
        <w:shd w:val="clear" w:fill="FFFFFF"/>
        <w:spacing w:before="0" w:beforeAutospacing="0" w:after="240" w:afterAutospacing="0"/>
        <w:ind w:left="0" w:right="0" w:firstLine="0"/>
        <w:rPr>
          <w:rFonts w:hint="eastAsia" w:ascii="黑体" w:hAnsi="黑体" w:eastAsia="黑体" w:cstheme="minorBidi"/>
          <w:kern w:val="2"/>
          <w:sz w:val="28"/>
          <w:szCs w:val="28"/>
          <w:shd w:val="pct10" w:color="auto" w:fill="FFFFFF"/>
          <w:lang w:val="en-US" w:eastAsia="zh-CN" w:bidi="ar-SA"/>
        </w:rPr>
      </w:pPr>
      <w:r>
        <w:rPr>
          <w:rFonts w:hint="eastAsia" w:ascii="黑体" w:hAnsi="黑体" w:eastAsia="黑体" w:cstheme="minorBidi"/>
          <w:kern w:val="2"/>
          <w:sz w:val="28"/>
          <w:szCs w:val="28"/>
          <w:shd w:val="pct10" w:color="auto" w:fill="FFFFFF"/>
          <w:lang w:val="en-US" w:eastAsia="zh-CN" w:bidi="ar-SA"/>
        </w:rPr>
        <w:t>(三)预防同类事故的措施</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firstLine="720" w:firstLineChars="200"/>
        <w:textAlignment w:val="baseline"/>
        <w:rPr>
          <w:rFonts w:hint="eastAsia" w:ascii="楷体" w:hAnsi="楷体" w:eastAsia="楷体" w:cs="楷体"/>
          <w:i w:val="0"/>
          <w:caps w:val="0"/>
          <w:color w:val="3E3E3E"/>
          <w:spacing w:val="0"/>
          <w:sz w:val="36"/>
          <w:szCs w:val="36"/>
          <w:shd w:val="clear" w:fill="FFFFFF"/>
          <w:vertAlign w:val="baseline"/>
        </w:rPr>
      </w:pPr>
      <w:r>
        <w:rPr>
          <w:rFonts w:hint="eastAsia" w:ascii="楷体" w:hAnsi="楷体" w:eastAsia="楷体" w:cs="楷体"/>
          <w:i w:val="0"/>
          <w:caps w:val="0"/>
          <w:color w:val="3E3E3E"/>
          <w:spacing w:val="0"/>
          <w:sz w:val="36"/>
          <w:szCs w:val="36"/>
          <w:shd w:val="clear" w:fill="FFFFFF"/>
          <w:vertAlign w:val="baseline"/>
        </w:rPr>
        <w:t>1.制造厂家应立即分析导致该传感器发生故障的原因，并评估今后发生故障的概率，根据评估结果制定相应对策。对于特别重要的几个传感器(尤其是传感器本身一旦发生故障可能会导致列车悬停空中的)应增设传感器自诊断模块，主控系统在每次发车前需确认这几个传感器的健康状况。</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firstLine="720" w:firstLineChars="200"/>
        <w:textAlignment w:val="baseline"/>
        <w:rPr>
          <w:rFonts w:hint="eastAsia" w:ascii="楷体" w:hAnsi="楷体" w:eastAsia="楷体" w:cs="楷体"/>
          <w:i w:val="0"/>
          <w:caps w:val="0"/>
          <w:color w:val="3E3E3E"/>
          <w:spacing w:val="0"/>
          <w:sz w:val="36"/>
          <w:szCs w:val="36"/>
          <w:shd w:val="clear" w:fill="FFFFFF"/>
          <w:vertAlign w:val="baseline"/>
        </w:rPr>
      </w:pPr>
      <w:r>
        <w:rPr>
          <w:rFonts w:hint="eastAsia" w:ascii="楷体" w:hAnsi="楷体" w:eastAsia="楷体" w:cs="楷体"/>
          <w:i w:val="0"/>
          <w:caps w:val="0"/>
          <w:color w:val="3E3E3E"/>
          <w:spacing w:val="0"/>
          <w:sz w:val="36"/>
          <w:szCs w:val="36"/>
          <w:shd w:val="clear" w:fill="FFFFFF"/>
          <w:vertAlign w:val="baseline"/>
        </w:rPr>
        <w:t>2.制造厂家应加强与运营使用单位的沟通协调，对现有操作规程中各种可能引发意外的细节逐项进行评估，指导运营单位对各种可预期的设备故障进行正确处置，并重新修订操作规程、对相关作业人员进行再培训。</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firstLine="720" w:firstLineChars="200"/>
        <w:textAlignment w:val="baseline"/>
        <w:rPr>
          <w:rFonts w:hint="eastAsia" w:ascii="楷体" w:hAnsi="楷体" w:eastAsia="楷体" w:cs="楷体"/>
          <w:i w:val="0"/>
          <w:caps w:val="0"/>
          <w:color w:val="3E3E3E"/>
          <w:spacing w:val="0"/>
          <w:sz w:val="36"/>
          <w:szCs w:val="36"/>
          <w:shd w:val="clear" w:fill="FFFFFF"/>
          <w:vertAlign w:val="baseline"/>
        </w:rPr>
      </w:pPr>
      <w:r>
        <w:rPr>
          <w:rFonts w:hint="eastAsia" w:ascii="楷体" w:hAnsi="楷体" w:eastAsia="楷体" w:cs="楷体"/>
          <w:i w:val="0"/>
          <w:caps w:val="0"/>
          <w:color w:val="3E3E3E"/>
          <w:spacing w:val="0"/>
          <w:sz w:val="36"/>
          <w:szCs w:val="36"/>
          <w:shd w:val="clear" w:fill="FFFFFF"/>
          <w:vertAlign w:val="baseline"/>
        </w:rPr>
        <w:t>3.运营使用单位应完善各种应急预案，对预案进行反复演练，对演练的效果进行认真评估，并根据演练效果，及时修订、完善应急预案。</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firstLine="720" w:firstLineChars="200"/>
        <w:textAlignment w:val="baseline"/>
        <w:rPr>
          <w:rFonts w:hint="eastAsia" w:ascii="楷体" w:hAnsi="楷体" w:eastAsia="楷体" w:cs="楷体"/>
          <w:i w:val="0"/>
          <w:caps w:val="0"/>
          <w:color w:val="3E3E3E"/>
          <w:spacing w:val="0"/>
          <w:sz w:val="36"/>
          <w:szCs w:val="36"/>
          <w:shd w:val="clear" w:fill="FFFFFF"/>
          <w:vertAlign w:val="baseline"/>
        </w:rPr>
      </w:pP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textAlignment w:val="baseline"/>
        <w:rPr>
          <w:rFonts w:hint="eastAsia" w:ascii="楷体" w:hAnsi="楷体" w:eastAsia="楷体" w:cs="楷体"/>
          <w:i w:val="0"/>
          <w:caps w:val="0"/>
          <w:color w:val="3E3E3E"/>
          <w:spacing w:val="0"/>
          <w:sz w:val="36"/>
          <w:szCs w:val="36"/>
          <w:shd w:val="clear" w:fill="FFFFFF"/>
          <w:vertAlign w:val="baseline"/>
        </w:rPr>
      </w:pPr>
      <w:r>
        <w:rPr>
          <w:rFonts w:hint="eastAsia" w:ascii="楷体" w:hAnsi="楷体" w:eastAsia="楷体" w:cs="楷体"/>
          <w:i w:val="0"/>
          <w:caps w:val="0"/>
          <w:color w:val="3E3E3E"/>
          <w:spacing w:val="0"/>
          <w:sz w:val="36"/>
          <w:szCs w:val="36"/>
          <w:shd w:val="clear" w:fill="FFFFFF"/>
          <w:vertAlign w:val="baseline"/>
        </w:rPr>
        <w:t>在等待消防支援的过程中，操作人员尝试切断设备电源后重新上电，并采用手动模式提升列车，可以上提但不能下降;再试，在提升一段距离，仍不能下降，此时列车位置已经接近螺旋段，由于担心再提会进入螺旋段更难于救援，于是只有放弃尝试等待消防到来。</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720" w:firstLineChars="200"/>
        <w:textAlignment w:val="baseline"/>
        <w:rPr>
          <w:rFonts w:hint="eastAsia" w:ascii="楷体" w:hAnsi="楷体" w:eastAsia="楷体" w:cs="宋体"/>
          <w:kern w:val="2"/>
          <w:sz w:val="36"/>
          <w:szCs w:val="36"/>
          <w:lang w:val="en-US" w:eastAsia="zh-CN" w:bidi="ar-SA"/>
        </w:rPr>
      </w:pPr>
      <w:r>
        <w:rPr>
          <w:rFonts w:hint="eastAsia" w:ascii="楷体" w:hAnsi="楷体" w:eastAsia="楷体" w:cs="楷体"/>
          <w:i w:val="0"/>
          <w:caps w:val="0"/>
          <w:color w:val="3E3E3E"/>
          <w:spacing w:val="0"/>
          <w:sz w:val="36"/>
          <w:szCs w:val="36"/>
          <w:shd w:val="clear" w:fill="FFFFFF"/>
          <w:vertAlign w:val="baseline"/>
        </w:rPr>
        <w:t>接事故报告后，武进区立即启动突发事件应急救援预案，公安、消防、卫生、质监、旅游、安监等部门和太湖湾度假区管委会等部门立即组织抢险救援和应急处置，紧急调来大型云梯车和救护车。14时55分，第一名女性乘客被消防云梯车安全转移至地面，至16时53分，乘客全部安全返回地面。</w:t>
      </w:r>
    </w:p>
    <w:p>
      <w:pPr>
        <w:widowControl w:val="0"/>
        <w:rPr>
          <w:rFonts w:hint="eastAsia" w:ascii="黑体" w:hAnsi="黑体" w:eastAsia="黑体"/>
          <w:kern w:val="0"/>
          <w:sz w:val="32"/>
          <w:szCs w:val="32"/>
          <w:shd w:val="pct10" w:color="auto" w:fill="FFFFFF"/>
          <w:lang w:eastAsia="zh-CN"/>
        </w:rPr>
      </w:pPr>
      <w:r>
        <w:rPr>
          <w:rFonts w:hint="eastAsia" w:ascii="黑体" w:hAnsi="黑体" w:eastAsia="黑体"/>
          <w:kern w:val="0"/>
          <w:sz w:val="32"/>
          <w:szCs w:val="32"/>
          <w:shd w:val="pct10" w:color="auto" w:fill="FFFFFF"/>
          <w:lang w:eastAsia="zh-CN"/>
        </w:rPr>
        <w:t>政府动态</w:t>
      </w:r>
    </w:p>
    <w:p>
      <w:pPr>
        <w:widowControl w:val="0"/>
        <w:ind w:firstLine="2650" w:firstLineChars="600"/>
        <w:jc w:val="both"/>
        <w:rPr>
          <w:rFonts w:hint="eastAsia" w:asciiTheme="minorEastAsia" w:hAnsiTheme="minorEastAsia"/>
          <w:b/>
          <w:sz w:val="44"/>
          <w:szCs w:val="44"/>
          <w:lang w:val="en-US" w:eastAsia="zh-CN"/>
        </w:rPr>
      </w:pPr>
      <w:r>
        <w:rPr>
          <w:rFonts w:hint="eastAsia" w:asciiTheme="minorEastAsia" w:hAnsiTheme="minorEastAsia"/>
          <w:b/>
          <w:sz w:val="44"/>
          <w:szCs w:val="44"/>
          <w:lang w:val="en-US" w:eastAsia="zh-CN"/>
        </w:rPr>
        <w:t>引入市场竞争机制</w:t>
      </w:r>
    </w:p>
    <w:p>
      <w:pPr>
        <w:widowControl w:val="0"/>
        <w:ind w:firstLine="1767" w:firstLineChars="400"/>
        <w:jc w:val="both"/>
        <w:rPr>
          <w:rFonts w:hint="eastAsia" w:ascii="楷体" w:hAnsi="楷体" w:eastAsia="楷体" w:cs="宋体"/>
          <w:kern w:val="2"/>
          <w:sz w:val="36"/>
          <w:szCs w:val="36"/>
          <w:lang w:val="en-US" w:eastAsia="zh-CN" w:bidi="ar-SA"/>
        </w:rPr>
      </w:pPr>
      <w:r>
        <w:rPr>
          <w:rFonts w:hint="eastAsia" w:asciiTheme="minorEastAsia" w:hAnsiTheme="minorEastAsia"/>
          <w:b/>
          <w:sz w:val="44"/>
          <w:szCs w:val="44"/>
          <w:lang w:val="en-US" w:eastAsia="zh-CN"/>
        </w:rPr>
        <w:t>发挥社会检验检测机构作用</w:t>
      </w:r>
    </w:p>
    <w:p>
      <w:pPr>
        <w:pStyle w:val="17"/>
        <w:ind w:firstLine="720" w:firstLineChars="200"/>
        <w:rPr>
          <w:rFonts w:hint="eastAsia" w:asciiTheme="minorEastAsia" w:hAnsiTheme="minorEastAsia" w:eastAsiaTheme="minorEastAsia" w:cstheme="minorBidi"/>
          <w:kern w:val="2"/>
          <w:sz w:val="32"/>
          <w:szCs w:val="32"/>
          <w:lang w:val="en-US" w:eastAsia="zh-CN" w:bidi="ar-SA"/>
        </w:rPr>
      </w:pPr>
      <w:r>
        <w:rPr>
          <w:rFonts w:hint="eastAsia" w:ascii="楷体" w:hAnsi="楷体" w:eastAsia="楷体" w:cs="宋体"/>
          <w:kern w:val="2"/>
          <w:sz w:val="36"/>
          <w:szCs w:val="36"/>
          <w:lang w:val="en-US" w:eastAsia="zh-CN" w:bidi="ar-SA"/>
        </w:rPr>
        <w:t>近日，国务院发布关于印发优化口岸营商环境促进跨境贸易便利化工作方案的通知。《方案》围绕减单证、优流程、提时效等方面，明确了20条重点措施，促进外贸稳定健康发展。《方案》明确，与2017年相比，2018年年底进出口环节验核的监管证件数量减少三分之一以上，2020年年底集装箱进出口环节合规成本降低一半，2021年年底整体通关时间压缩一半。</w:t>
      </w:r>
      <w:r>
        <w:rPr>
          <w:rFonts w:hint="default" w:ascii="楷体" w:hAnsi="楷体" w:eastAsia="楷体" w:cs="宋体"/>
          <w:kern w:val="2"/>
          <w:sz w:val="36"/>
          <w:szCs w:val="36"/>
          <w:lang w:val="en-US" w:eastAsia="zh-CN" w:bidi="ar-SA"/>
        </w:rPr>
        <w:br w:type="textWrapping"/>
      </w:r>
      <w:r>
        <w:rPr>
          <w:rFonts w:hint="default" w:ascii="楷体" w:hAnsi="楷体" w:eastAsia="楷体" w:cs="宋体"/>
          <w:kern w:val="2"/>
          <w:sz w:val="36"/>
          <w:szCs w:val="36"/>
          <w:lang w:val="en-US" w:eastAsia="zh-CN" w:bidi="ar-SA"/>
        </w:rPr>
        <w:t>    《方案》要求，精简进出口环节监管证件，优化监管证件办理程序，减少进出口环节审批监管事项。深化全国通关一体化改革，推进海关、边检、海事一次性联合检查，加强关铁信息共享，推进铁路运输货物无纸化通关。推广应用“提前申报”模式，提高进口货物“提前申报”比例。提高查验准备工作效率，加快发展多式联运，研究制定多式联运服务规则，加快建设多式联运公共信息平台，加强交通运输、海关、市场监管等部门间信息开放共享，为企业提供一站式综合信息服务。创新边境口岸通关管理模式，加快鲜活商品通关速度。</w:t>
      </w:r>
      <w:r>
        <w:rPr>
          <w:rFonts w:hint="default" w:ascii="楷体" w:hAnsi="楷体" w:eastAsia="楷体" w:cs="宋体"/>
          <w:kern w:val="2"/>
          <w:sz w:val="36"/>
          <w:szCs w:val="36"/>
          <w:lang w:val="en-US" w:eastAsia="zh-CN" w:bidi="ar-SA"/>
        </w:rPr>
        <w:br w:type="textWrapping"/>
      </w:r>
      <w:r>
        <w:rPr>
          <w:rFonts w:hint="default" w:ascii="楷体" w:hAnsi="楷体" w:eastAsia="楷体" w:cs="宋体"/>
          <w:kern w:val="2"/>
          <w:sz w:val="36"/>
          <w:szCs w:val="36"/>
          <w:lang w:val="en-US" w:eastAsia="zh-CN" w:bidi="ar-SA"/>
        </w:rPr>
        <w:t>   </w:t>
      </w:r>
      <w:r>
        <w:rPr>
          <w:rFonts w:hint="eastAsia" w:ascii="楷体" w:hAnsi="楷体" w:eastAsia="楷体" w:cs="宋体"/>
          <w:kern w:val="2"/>
          <w:sz w:val="36"/>
          <w:szCs w:val="36"/>
          <w:lang w:val="en-US" w:eastAsia="zh-CN" w:bidi="ar-SA"/>
        </w:rPr>
        <w:t xml:space="preserve"> </w:t>
      </w:r>
      <w:r>
        <w:rPr>
          <w:rFonts w:hint="default" w:ascii="楷体" w:hAnsi="楷体" w:eastAsia="楷体" w:cs="宋体"/>
          <w:kern w:val="2"/>
          <w:sz w:val="36"/>
          <w:szCs w:val="36"/>
          <w:lang w:val="en-US" w:eastAsia="zh-CN" w:bidi="ar-SA"/>
        </w:rPr>
        <w:t>《方案》指出，要推进口岸物流信息电子化，制定完善不同运输方式集装箱、整车货物运输电子数据交换报文标准，推动海运提单换提货单电子化。加强口岸通关和运输国际合作，加快制修订国际运输双边、多边协定。降低进出口环节合规成本，公开通关流程及物流作业时限，便利企业合理安排生产、制定运输计划。《通知》要求引入市场竞争机制，发挥社会检验检测机构作用，在进出口环节推广第三方检验检测结果采信制度。</w:t>
      </w:r>
    </w:p>
    <w:p>
      <w:pPr>
        <w:pStyle w:val="17"/>
        <w:rPr>
          <w:rFonts w:hint="eastAsia" w:ascii="黑体" w:hAnsi="黑体" w:eastAsia="黑体"/>
          <w:kern w:val="0"/>
          <w:sz w:val="32"/>
          <w:szCs w:val="32"/>
          <w:shd w:val="pct10" w:color="auto" w:fill="FFFFFF"/>
          <w:lang w:eastAsia="zh-CN"/>
        </w:rPr>
      </w:pPr>
      <w:r>
        <w:rPr>
          <w:rFonts w:hint="eastAsia" w:ascii="黑体" w:hAnsi="黑体" w:eastAsia="黑体"/>
          <w:kern w:val="0"/>
          <w:sz w:val="32"/>
          <w:szCs w:val="32"/>
          <w:shd w:val="pct10" w:color="auto" w:fill="FFFFFF"/>
          <w:lang w:eastAsia="zh-CN"/>
        </w:rPr>
        <w:t>政策</w:t>
      </w:r>
      <w:bookmarkStart w:id="0" w:name="3_1"/>
      <w:bookmarkEnd w:id="0"/>
      <w:bookmarkStart w:id="1" w:name="sub1885305_3_1"/>
      <w:bookmarkEnd w:id="1"/>
      <w:bookmarkStart w:id="2" w:name="中华人民共和国食品安全法_第一章 总则"/>
      <w:bookmarkEnd w:id="2"/>
      <w:r>
        <w:rPr>
          <w:rFonts w:hint="eastAsia" w:ascii="黑体" w:hAnsi="黑体" w:eastAsia="黑体"/>
          <w:kern w:val="0"/>
          <w:sz w:val="32"/>
          <w:szCs w:val="32"/>
          <w:shd w:val="pct10" w:color="auto" w:fill="FFFFFF"/>
          <w:lang w:eastAsia="zh-CN"/>
        </w:rPr>
        <w:t>文涵</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40" w:lineRule="auto"/>
        <w:ind w:left="0" w:right="0" w:firstLine="0"/>
        <w:jc w:val="center"/>
        <w:textAlignment w:val="baseline"/>
        <w:rPr>
          <w:rFonts w:hint="eastAsia" w:asciiTheme="minorEastAsia" w:hAnsiTheme="minorEastAsia"/>
          <w:b/>
          <w:sz w:val="44"/>
          <w:szCs w:val="44"/>
          <w:lang w:val="en-US" w:eastAsia="zh-CN"/>
        </w:rPr>
      </w:pPr>
      <w:r>
        <w:rPr>
          <w:rFonts w:hint="eastAsia" w:asciiTheme="minorEastAsia" w:hAnsiTheme="minorEastAsia"/>
          <w:b/>
          <w:sz w:val="44"/>
          <w:szCs w:val="44"/>
          <w:lang w:val="en-US" w:eastAsia="zh-CN"/>
        </w:rPr>
        <w:t xml:space="preserve">   转发市场监管总局关于发布公平竞争   审查第三方评估实施指南的公告      （〔2019年 第6号〕）</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40" w:lineRule="auto"/>
        <w:ind w:left="0" w:right="0" w:firstLine="0"/>
        <w:jc w:val="center"/>
        <w:textAlignment w:val="baseline"/>
        <w:rPr>
          <w:rFonts w:hint="eastAsia" w:ascii="楷体" w:hAnsi="楷体" w:eastAsia="楷体" w:cs="宋体"/>
          <w:b w:val="0"/>
          <w:kern w:val="2"/>
          <w:sz w:val="36"/>
          <w:szCs w:val="36"/>
          <w:lang w:val="en-US" w:eastAsia="zh-CN" w:bidi="ar-SA"/>
        </w:rPr>
      </w:pPr>
      <w:r>
        <w:rPr>
          <w:rFonts w:hint="eastAsia" w:ascii="楷体" w:hAnsi="楷体" w:eastAsia="楷体" w:cs="宋体"/>
          <w:b w:val="0"/>
          <w:kern w:val="2"/>
          <w:sz w:val="36"/>
          <w:szCs w:val="36"/>
          <w:lang w:val="en-US" w:eastAsia="zh-CN" w:bidi="ar-SA"/>
        </w:rPr>
        <w:t xml:space="preserve">   摘要：为建立健全公平竞争审查第三方评估机制，鼓励支持政策制定机关在公平竞争审查工作中引入第三方评估，提高审查质量，确保审查效果，推动公平竞争审查制度深入实施，根据《国务院关于在市场体系建设中建立公平竞争审查制度的意见》（国发〔2016〕34号）要求，市场监管总局研究制定了《公平竞争审查第三方评估实施指南》，并经公平竞争审查工作部际联席会议第二次全体会议审议通过。现予以发布，供政策制定机关在开展公平竞争审查。</w:t>
      </w:r>
    </w:p>
    <w:p>
      <w:pPr>
        <w:pStyle w:val="17"/>
        <w:jc w:val="center"/>
        <w:rPr>
          <w:rFonts w:hint="eastAsia" w:ascii="楷体" w:hAnsi="楷体" w:eastAsia="楷体" w:cs="宋体"/>
          <w:b w:val="0"/>
          <w:kern w:val="2"/>
          <w:sz w:val="36"/>
          <w:szCs w:val="36"/>
          <w:lang w:val="en-US" w:eastAsia="zh-CN" w:bidi="ar-SA"/>
        </w:rPr>
      </w:pPr>
      <w:r>
        <w:rPr>
          <w:rFonts w:hint="eastAsia" w:ascii="楷体" w:hAnsi="楷体" w:eastAsia="楷体" w:cs="宋体"/>
          <w:b w:val="0"/>
          <w:kern w:val="2"/>
          <w:sz w:val="36"/>
          <w:szCs w:val="36"/>
          <w:lang w:val="en-US" w:eastAsia="zh-CN" w:bidi="ar-SA"/>
        </w:rPr>
        <w:t>公平竞争审查第三方评估实施指南</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textAlignment w:val="baseline"/>
        <w:rPr>
          <w:rFonts w:hint="eastAsia" w:ascii="楷体" w:hAnsi="楷体" w:eastAsia="楷体" w:cs="宋体"/>
          <w:b w:val="0"/>
          <w:kern w:val="2"/>
          <w:sz w:val="36"/>
          <w:szCs w:val="36"/>
          <w:lang w:val="en-US" w:eastAsia="zh-CN" w:bidi="ar-SA"/>
        </w:rPr>
      </w:pPr>
      <w:r>
        <w:rPr>
          <w:rFonts w:hint="eastAsia" w:ascii="楷体" w:hAnsi="楷体" w:eastAsia="楷体" w:cs="宋体"/>
          <w:b w:val="0"/>
          <w:kern w:val="2"/>
          <w:sz w:val="36"/>
          <w:szCs w:val="36"/>
          <w:lang w:val="en-US" w:eastAsia="zh-CN" w:bidi="ar-SA"/>
        </w:rPr>
        <w:t> </w:t>
      </w:r>
    </w:p>
    <w:p>
      <w:pPr>
        <w:pStyle w:val="17"/>
        <w:jc w:val="center"/>
        <w:rPr>
          <w:rFonts w:hint="eastAsia" w:ascii="楷体" w:hAnsi="楷体" w:eastAsia="楷体" w:cs="宋体"/>
          <w:b w:val="0"/>
          <w:kern w:val="2"/>
          <w:sz w:val="36"/>
          <w:szCs w:val="36"/>
          <w:lang w:val="en-US" w:eastAsia="zh-CN" w:bidi="ar-SA"/>
        </w:rPr>
      </w:pPr>
      <w:r>
        <w:rPr>
          <w:rFonts w:hint="eastAsia" w:ascii="楷体" w:hAnsi="楷体" w:eastAsia="楷体" w:cs="宋体"/>
          <w:b w:val="0"/>
          <w:kern w:val="2"/>
          <w:sz w:val="36"/>
          <w:szCs w:val="36"/>
          <w:lang w:val="en-US" w:eastAsia="zh-CN" w:bidi="ar-SA"/>
        </w:rPr>
        <w:t>一、总  则</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textAlignment w:val="baseline"/>
        <w:rPr>
          <w:rFonts w:hint="eastAsia" w:ascii="楷体" w:hAnsi="楷体" w:eastAsia="楷体" w:cs="宋体"/>
          <w:b w:val="0"/>
          <w:kern w:val="2"/>
          <w:sz w:val="36"/>
          <w:szCs w:val="36"/>
          <w:lang w:val="en-US" w:eastAsia="zh-CN" w:bidi="ar-SA"/>
        </w:rPr>
      </w:pPr>
      <w:r>
        <w:rPr>
          <w:rFonts w:hint="eastAsia" w:ascii="微软雅黑" w:hAnsi="微软雅黑" w:eastAsia="微软雅黑" w:cs="微软雅黑"/>
          <w:i w:val="0"/>
          <w:caps w:val="0"/>
          <w:color w:val="5A5A5A"/>
          <w:spacing w:val="0"/>
          <w:kern w:val="0"/>
          <w:sz w:val="24"/>
          <w:szCs w:val="24"/>
          <w:shd w:val="clear" w:fill="FFFFFF"/>
          <w:vertAlign w:val="baseline"/>
          <w:lang w:val="en-US" w:eastAsia="zh-CN" w:bidi="ar"/>
        </w:rPr>
        <w:t>　　</w:t>
      </w:r>
      <w:r>
        <w:rPr>
          <w:rFonts w:hint="eastAsia" w:ascii="楷体" w:hAnsi="楷体" w:eastAsia="楷体" w:cs="宋体"/>
          <w:b w:val="0"/>
          <w:kern w:val="2"/>
          <w:sz w:val="36"/>
          <w:szCs w:val="36"/>
          <w:lang w:val="en-US" w:eastAsia="zh-CN" w:bidi="ar-SA"/>
        </w:rPr>
        <w:t>第一条 为建立健全公平竞争审查第三方评估机制，鼓励支持政策制定机关在公平竞争审查工作中引入第三方评估，提高审查质量和效果，推动公平竞争审查制度深入实施，根据《国务院关于在市场体系建设中建立公平竞争审查制度的意见》（国发〔2016〕34号，以下简称《意见》）要求，制定本指南。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textAlignment w:val="baseline"/>
        <w:rPr>
          <w:rFonts w:hint="eastAsia" w:ascii="楷体" w:hAnsi="楷体" w:eastAsia="楷体" w:cs="宋体"/>
          <w:b w:val="0"/>
          <w:kern w:val="2"/>
          <w:sz w:val="36"/>
          <w:szCs w:val="36"/>
          <w:lang w:val="en-US" w:eastAsia="zh-CN" w:bidi="ar-SA"/>
        </w:rPr>
      </w:pPr>
      <w:r>
        <w:rPr>
          <w:rFonts w:hint="eastAsia" w:ascii="楷体" w:hAnsi="楷体" w:eastAsia="楷体" w:cs="宋体"/>
          <w:b w:val="0"/>
          <w:kern w:val="2"/>
          <w:sz w:val="36"/>
          <w:szCs w:val="36"/>
          <w:lang w:val="en-US" w:eastAsia="zh-CN" w:bidi="ar-SA"/>
        </w:rPr>
        <w:t>　　第二条 本指南所称第三方评估，是指受政策制定机关委托，由利害关系方以外的组织机构，依据一定的标准和程序，运用科学、系统、规范的评估方法，对有关政策措施进行公平竞争评估，或者对公平竞争审查其他有关工作进行评估，形成评估报告供政策制定机关决策参考的活动。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textAlignment w:val="baseline"/>
        <w:rPr>
          <w:rFonts w:hint="eastAsia" w:ascii="楷体" w:hAnsi="楷体" w:eastAsia="楷体" w:cs="宋体"/>
          <w:b w:val="0"/>
          <w:kern w:val="2"/>
          <w:sz w:val="36"/>
          <w:szCs w:val="36"/>
          <w:lang w:val="en-US" w:eastAsia="zh-CN" w:bidi="ar-SA"/>
        </w:rPr>
      </w:pPr>
      <w:r>
        <w:rPr>
          <w:rFonts w:hint="eastAsia" w:ascii="楷体" w:hAnsi="楷体" w:eastAsia="楷体" w:cs="宋体"/>
          <w:b w:val="0"/>
          <w:kern w:val="2"/>
          <w:sz w:val="36"/>
          <w:szCs w:val="36"/>
          <w:lang w:val="en-US" w:eastAsia="zh-CN" w:bidi="ar-SA"/>
        </w:rPr>
        <w:t>　　第三条 第三方评估应当遵循客观公正、科学严谨、专业规范、公开透明、注重实效的原则。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textAlignment w:val="baseline"/>
        <w:rPr>
          <w:rFonts w:hint="eastAsia" w:ascii="楷体" w:hAnsi="楷体" w:eastAsia="楷体" w:cs="宋体"/>
          <w:b w:val="0"/>
          <w:kern w:val="2"/>
          <w:sz w:val="36"/>
          <w:szCs w:val="36"/>
          <w:lang w:val="en-US" w:eastAsia="zh-CN" w:bidi="ar-SA"/>
        </w:rPr>
      </w:pPr>
      <w:r>
        <w:rPr>
          <w:rFonts w:hint="eastAsia" w:ascii="楷体" w:hAnsi="楷体" w:eastAsia="楷体" w:cs="宋体"/>
          <w:b w:val="0"/>
          <w:kern w:val="2"/>
          <w:sz w:val="36"/>
          <w:szCs w:val="36"/>
          <w:lang w:val="en-US" w:eastAsia="zh-CN" w:bidi="ar-SA"/>
        </w:rPr>
        <w:t>　　第四条 各级公平竞争审查工作联席会议办公室委托第三方评估机构，对本级公平竞争审查制度总体实施情况进行评估，可以参照本指南执行。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textAlignment w:val="baseline"/>
        <w:rPr>
          <w:rFonts w:hint="eastAsia" w:ascii="楷体" w:hAnsi="楷体" w:eastAsia="楷体" w:cs="宋体"/>
          <w:b w:val="0"/>
          <w:kern w:val="2"/>
          <w:sz w:val="36"/>
          <w:szCs w:val="36"/>
          <w:lang w:val="en-US" w:eastAsia="zh-CN" w:bidi="ar-SA"/>
        </w:rPr>
      </w:pPr>
      <w:r>
        <w:rPr>
          <w:rFonts w:hint="eastAsia" w:ascii="楷体" w:hAnsi="楷体" w:eastAsia="楷体" w:cs="宋体"/>
          <w:b w:val="0"/>
          <w:kern w:val="2"/>
          <w:sz w:val="36"/>
          <w:szCs w:val="36"/>
          <w:lang w:val="en-US" w:eastAsia="zh-CN" w:bidi="ar-SA"/>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textAlignment w:val="baseline"/>
        <w:rPr>
          <w:rFonts w:hint="eastAsia" w:ascii="楷体" w:hAnsi="楷体" w:eastAsia="楷体" w:cs="宋体"/>
          <w:b w:val="0"/>
          <w:kern w:val="2"/>
          <w:sz w:val="36"/>
          <w:szCs w:val="36"/>
          <w:lang w:val="en-US" w:eastAsia="zh-CN" w:bidi="ar-SA"/>
        </w:rPr>
      </w:pPr>
      <w:r>
        <w:rPr>
          <w:rFonts w:hint="eastAsia" w:ascii="楷体" w:hAnsi="楷体" w:eastAsia="楷体" w:cs="宋体"/>
          <w:b w:val="0"/>
          <w:kern w:val="2"/>
          <w:sz w:val="36"/>
          <w:szCs w:val="36"/>
          <w:lang w:val="en-US" w:eastAsia="zh-CN" w:bidi="ar-SA"/>
        </w:rPr>
        <w:t>二、适用范围和评估内容</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textAlignment w:val="baseline"/>
        <w:rPr>
          <w:rFonts w:hint="eastAsia" w:ascii="楷体" w:hAnsi="楷体" w:eastAsia="楷体" w:cs="宋体"/>
          <w:b w:val="0"/>
          <w:kern w:val="2"/>
          <w:sz w:val="36"/>
          <w:szCs w:val="36"/>
          <w:lang w:val="en-US" w:eastAsia="zh-CN" w:bidi="ar-SA"/>
        </w:rPr>
      </w:pPr>
      <w:r>
        <w:rPr>
          <w:rFonts w:hint="eastAsia" w:ascii="楷体" w:hAnsi="楷体" w:eastAsia="楷体" w:cs="宋体"/>
          <w:b w:val="0"/>
          <w:kern w:val="2"/>
          <w:sz w:val="36"/>
          <w:szCs w:val="36"/>
          <w:lang w:val="en-US" w:eastAsia="zh-CN" w:bidi="ar-SA"/>
        </w:rPr>
        <w:t>　　第五条 政策制定机关在开展公平竞争审查工作的以下阶段和环节，均可以引入第三方评估。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textAlignment w:val="baseline"/>
        <w:rPr>
          <w:rFonts w:hint="eastAsia" w:ascii="楷体" w:hAnsi="楷体" w:eastAsia="楷体" w:cs="宋体"/>
          <w:b w:val="0"/>
          <w:kern w:val="2"/>
          <w:sz w:val="36"/>
          <w:szCs w:val="36"/>
          <w:lang w:val="en-US" w:eastAsia="zh-CN" w:bidi="ar-SA"/>
        </w:rPr>
      </w:pPr>
      <w:r>
        <w:rPr>
          <w:rFonts w:hint="eastAsia" w:ascii="楷体" w:hAnsi="楷体" w:eastAsia="楷体" w:cs="宋体"/>
          <w:b w:val="0"/>
          <w:kern w:val="2"/>
          <w:sz w:val="36"/>
          <w:szCs w:val="36"/>
          <w:lang w:val="en-US" w:eastAsia="zh-CN" w:bidi="ar-SA"/>
        </w:rPr>
        <w:t>　　（一）对拟出台的政策措施进行公平竞争审查；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textAlignment w:val="baseline"/>
        <w:rPr>
          <w:rFonts w:hint="eastAsia" w:ascii="楷体" w:hAnsi="楷体" w:eastAsia="楷体" w:cs="宋体"/>
          <w:b w:val="0"/>
          <w:kern w:val="2"/>
          <w:sz w:val="36"/>
          <w:szCs w:val="36"/>
          <w:lang w:val="en-US" w:eastAsia="zh-CN" w:bidi="ar-SA"/>
        </w:rPr>
      </w:pPr>
      <w:r>
        <w:rPr>
          <w:rFonts w:hint="eastAsia" w:ascii="楷体" w:hAnsi="楷体" w:eastAsia="楷体" w:cs="宋体"/>
          <w:b w:val="0"/>
          <w:kern w:val="2"/>
          <w:sz w:val="36"/>
          <w:szCs w:val="36"/>
          <w:lang w:val="en-US" w:eastAsia="zh-CN" w:bidi="ar-SA"/>
        </w:rPr>
        <w:t>　　（二）对经公平竞争审查出台的政策措施进行定期评估；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textAlignment w:val="baseline"/>
        <w:rPr>
          <w:rFonts w:hint="eastAsia" w:ascii="楷体" w:hAnsi="楷体" w:eastAsia="楷体" w:cs="宋体"/>
          <w:b w:val="0"/>
          <w:kern w:val="2"/>
          <w:sz w:val="36"/>
          <w:szCs w:val="36"/>
          <w:lang w:val="en-US" w:eastAsia="zh-CN" w:bidi="ar-SA"/>
        </w:rPr>
      </w:pPr>
      <w:r>
        <w:rPr>
          <w:rFonts w:hint="eastAsia" w:ascii="楷体" w:hAnsi="楷体" w:eastAsia="楷体" w:cs="宋体"/>
          <w:b w:val="0"/>
          <w:kern w:val="2"/>
          <w:sz w:val="36"/>
          <w:szCs w:val="36"/>
          <w:lang w:val="en-US" w:eastAsia="zh-CN" w:bidi="ar-SA"/>
        </w:rPr>
        <w:t>　　（三）对适用例外规定出台的政策措施进行逐年评估；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textAlignment w:val="baseline"/>
        <w:rPr>
          <w:rFonts w:hint="eastAsia" w:ascii="楷体" w:hAnsi="楷体" w:eastAsia="楷体" w:cs="宋体"/>
          <w:b w:val="0"/>
          <w:kern w:val="2"/>
          <w:sz w:val="36"/>
          <w:szCs w:val="36"/>
          <w:lang w:val="en-US" w:eastAsia="zh-CN" w:bidi="ar-SA"/>
        </w:rPr>
      </w:pPr>
      <w:r>
        <w:rPr>
          <w:rFonts w:hint="eastAsia" w:ascii="楷体" w:hAnsi="楷体" w:eastAsia="楷体" w:cs="宋体"/>
          <w:b w:val="0"/>
          <w:kern w:val="2"/>
          <w:sz w:val="36"/>
          <w:szCs w:val="36"/>
          <w:lang w:val="en-US" w:eastAsia="zh-CN" w:bidi="ar-SA"/>
        </w:rPr>
        <w:t>　　（四）对公平竞争审查制度实施前已出台的政策措施进行清理；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textAlignment w:val="baseline"/>
        <w:rPr>
          <w:rFonts w:hint="eastAsia" w:ascii="楷体" w:hAnsi="楷体" w:eastAsia="楷体" w:cs="宋体"/>
          <w:b w:val="0"/>
          <w:kern w:val="2"/>
          <w:sz w:val="36"/>
          <w:szCs w:val="36"/>
          <w:lang w:val="en-US" w:eastAsia="zh-CN" w:bidi="ar-SA"/>
        </w:rPr>
      </w:pPr>
      <w:r>
        <w:rPr>
          <w:rFonts w:hint="eastAsia" w:ascii="楷体" w:hAnsi="楷体" w:eastAsia="楷体" w:cs="宋体"/>
          <w:b w:val="0"/>
          <w:kern w:val="2"/>
          <w:sz w:val="36"/>
          <w:szCs w:val="36"/>
          <w:lang w:val="en-US" w:eastAsia="zh-CN" w:bidi="ar-SA"/>
        </w:rPr>
        <w:t>　　（五）对公平竞争审查制度实施情况进行综合评估；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textAlignment w:val="baseline"/>
        <w:rPr>
          <w:rFonts w:hint="eastAsia" w:ascii="楷体" w:hAnsi="楷体" w:eastAsia="楷体" w:cs="宋体"/>
          <w:b w:val="0"/>
          <w:kern w:val="2"/>
          <w:sz w:val="36"/>
          <w:szCs w:val="36"/>
          <w:lang w:val="en-US" w:eastAsia="zh-CN" w:bidi="ar-SA"/>
        </w:rPr>
      </w:pPr>
      <w:r>
        <w:rPr>
          <w:rFonts w:hint="eastAsia" w:ascii="楷体" w:hAnsi="楷体" w:eastAsia="楷体" w:cs="宋体"/>
          <w:b w:val="0"/>
          <w:kern w:val="2"/>
          <w:sz w:val="36"/>
          <w:szCs w:val="36"/>
          <w:lang w:val="en-US" w:eastAsia="zh-CN" w:bidi="ar-SA"/>
        </w:rPr>
        <w:t>　　（六）与公平竞争审查工作相关的其他阶段和环节。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textAlignment w:val="baseline"/>
        <w:rPr>
          <w:rFonts w:hint="eastAsia" w:ascii="楷体" w:hAnsi="楷体" w:eastAsia="楷体" w:cs="宋体"/>
          <w:b w:val="0"/>
          <w:kern w:val="2"/>
          <w:sz w:val="36"/>
          <w:szCs w:val="36"/>
          <w:lang w:val="en-US" w:eastAsia="zh-CN" w:bidi="ar-SA"/>
        </w:rPr>
      </w:pPr>
      <w:r>
        <w:rPr>
          <w:rFonts w:hint="eastAsia" w:ascii="楷体" w:hAnsi="楷体" w:eastAsia="楷体" w:cs="宋体"/>
          <w:b w:val="0"/>
          <w:kern w:val="2"/>
          <w:sz w:val="36"/>
          <w:szCs w:val="36"/>
          <w:lang w:val="en-US" w:eastAsia="zh-CN" w:bidi="ar-SA"/>
        </w:rPr>
        <w:t>　　第六条 对拟出台的政策措施进行公平竞争审查时存在以下情形之一的，鼓励引入第三方评估：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textAlignment w:val="baseline"/>
        <w:rPr>
          <w:rFonts w:hint="eastAsia" w:ascii="楷体" w:hAnsi="楷体" w:eastAsia="楷体" w:cs="宋体"/>
          <w:b w:val="0"/>
          <w:kern w:val="2"/>
          <w:sz w:val="36"/>
          <w:szCs w:val="36"/>
          <w:lang w:val="en-US" w:eastAsia="zh-CN" w:bidi="ar-SA"/>
        </w:rPr>
      </w:pPr>
      <w:r>
        <w:rPr>
          <w:rFonts w:hint="eastAsia" w:ascii="楷体" w:hAnsi="楷体" w:eastAsia="楷体" w:cs="宋体"/>
          <w:b w:val="0"/>
          <w:kern w:val="2"/>
          <w:sz w:val="36"/>
          <w:szCs w:val="36"/>
          <w:lang w:val="en-US" w:eastAsia="zh-CN" w:bidi="ar-SA"/>
        </w:rPr>
        <w:t>　　（一）政策制定机关拟适用例外规定的；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textAlignment w:val="baseline"/>
        <w:rPr>
          <w:rFonts w:hint="eastAsia" w:ascii="楷体" w:hAnsi="楷体" w:eastAsia="楷体" w:cs="宋体"/>
          <w:b w:val="0"/>
          <w:kern w:val="2"/>
          <w:sz w:val="36"/>
          <w:szCs w:val="36"/>
          <w:lang w:val="en-US" w:eastAsia="zh-CN" w:bidi="ar-SA"/>
        </w:rPr>
      </w:pPr>
      <w:r>
        <w:rPr>
          <w:rFonts w:hint="eastAsia" w:ascii="楷体" w:hAnsi="楷体" w:eastAsia="楷体" w:cs="宋体"/>
          <w:b w:val="0"/>
          <w:kern w:val="2"/>
          <w:sz w:val="36"/>
          <w:szCs w:val="36"/>
          <w:lang w:val="en-US" w:eastAsia="zh-CN" w:bidi="ar-SA"/>
        </w:rPr>
        <w:t>　　（二）社会舆论普遍关注、对社会公共利益影响重大的；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textAlignment w:val="baseline"/>
        <w:rPr>
          <w:rFonts w:hint="eastAsia" w:ascii="楷体" w:hAnsi="楷体" w:eastAsia="楷体" w:cs="宋体"/>
          <w:b w:val="0"/>
          <w:kern w:val="2"/>
          <w:sz w:val="36"/>
          <w:szCs w:val="36"/>
          <w:lang w:val="en-US" w:eastAsia="zh-CN" w:bidi="ar-SA"/>
        </w:rPr>
      </w:pPr>
      <w:r>
        <w:rPr>
          <w:rFonts w:hint="eastAsia" w:ascii="楷体" w:hAnsi="楷体" w:eastAsia="楷体" w:cs="宋体"/>
          <w:b w:val="0"/>
          <w:kern w:val="2"/>
          <w:sz w:val="36"/>
          <w:szCs w:val="36"/>
          <w:lang w:val="en-US" w:eastAsia="zh-CN" w:bidi="ar-SA"/>
        </w:rPr>
        <w:t>　　（三）存在较大争议、部门意见难以协调一致的；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textAlignment w:val="baseline"/>
        <w:rPr>
          <w:rFonts w:hint="eastAsia" w:ascii="楷体" w:hAnsi="楷体" w:eastAsia="楷体" w:cs="宋体"/>
          <w:b w:val="0"/>
          <w:kern w:val="2"/>
          <w:sz w:val="36"/>
          <w:szCs w:val="36"/>
          <w:lang w:val="en-US" w:eastAsia="zh-CN" w:bidi="ar-SA"/>
        </w:rPr>
      </w:pPr>
      <w:r>
        <w:rPr>
          <w:rFonts w:hint="eastAsia" w:ascii="楷体" w:hAnsi="楷体" w:eastAsia="楷体" w:cs="宋体"/>
          <w:b w:val="0"/>
          <w:kern w:val="2"/>
          <w:sz w:val="36"/>
          <w:szCs w:val="36"/>
          <w:lang w:val="en-US" w:eastAsia="zh-CN" w:bidi="ar-SA"/>
        </w:rPr>
        <w:t>　　（四）被多个单位或者个人反映或者举报涉嫌违反公平竞争审查标准的。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textAlignment w:val="baseline"/>
        <w:rPr>
          <w:rFonts w:hint="eastAsia" w:ascii="楷体" w:hAnsi="楷体" w:eastAsia="楷体" w:cs="宋体"/>
          <w:b w:val="0"/>
          <w:kern w:val="2"/>
          <w:sz w:val="36"/>
          <w:szCs w:val="36"/>
          <w:lang w:val="en-US" w:eastAsia="zh-CN" w:bidi="ar-SA"/>
        </w:rPr>
      </w:pPr>
      <w:r>
        <w:rPr>
          <w:rFonts w:hint="eastAsia" w:ascii="楷体" w:hAnsi="楷体" w:eastAsia="楷体" w:cs="宋体"/>
          <w:b w:val="0"/>
          <w:kern w:val="2"/>
          <w:sz w:val="36"/>
          <w:szCs w:val="36"/>
          <w:lang w:val="en-US" w:eastAsia="zh-CN" w:bidi="ar-SA"/>
        </w:rPr>
        <w:t>　　第七条 对拟出台的政策措施进行公平竞争审查时引入第三方评估，应当重点评估以下内容：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textAlignment w:val="baseline"/>
        <w:rPr>
          <w:rFonts w:hint="eastAsia" w:ascii="楷体" w:hAnsi="楷体" w:eastAsia="楷体" w:cs="宋体"/>
          <w:b w:val="0"/>
          <w:kern w:val="2"/>
          <w:sz w:val="36"/>
          <w:szCs w:val="36"/>
          <w:lang w:val="en-US" w:eastAsia="zh-CN" w:bidi="ar-SA"/>
        </w:rPr>
      </w:pPr>
      <w:r>
        <w:rPr>
          <w:rFonts w:hint="eastAsia" w:ascii="楷体" w:hAnsi="楷体" w:eastAsia="楷体" w:cs="宋体"/>
          <w:b w:val="0"/>
          <w:kern w:val="2"/>
          <w:sz w:val="36"/>
          <w:szCs w:val="36"/>
          <w:lang w:val="en-US" w:eastAsia="zh-CN" w:bidi="ar-SA"/>
        </w:rPr>
        <w:t>　　（一）是否涉及市场主体经济活动；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textAlignment w:val="baseline"/>
        <w:rPr>
          <w:rFonts w:hint="eastAsia" w:ascii="楷体" w:hAnsi="楷体" w:eastAsia="楷体" w:cs="宋体"/>
          <w:b w:val="0"/>
          <w:kern w:val="2"/>
          <w:sz w:val="36"/>
          <w:szCs w:val="36"/>
          <w:lang w:val="en-US" w:eastAsia="zh-CN" w:bidi="ar-SA"/>
        </w:rPr>
      </w:pPr>
      <w:r>
        <w:rPr>
          <w:rFonts w:hint="eastAsia" w:ascii="楷体" w:hAnsi="楷体" w:eastAsia="楷体" w:cs="宋体"/>
          <w:b w:val="0"/>
          <w:kern w:val="2"/>
          <w:sz w:val="36"/>
          <w:szCs w:val="36"/>
          <w:lang w:val="en-US" w:eastAsia="zh-CN" w:bidi="ar-SA"/>
        </w:rPr>
        <w:t>　　（二）是否违反公平竞争审查标准。如违反标准，分析对市场竞争的具体影响，并提出调整建议；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textAlignment w:val="baseline"/>
        <w:rPr>
          <w:rFonts w:hint="eastAsia" w:ascii="楷体" w:hAnsi="楷体" w:eastAsia="楷体" w:cs="宋体"/>
          <w:b w:val="0"/>
          <w:kern w:val="2"/>
          <w:sz w:val="36"/>
          <w:szCs w:val="36"/>
          <w:lang w:val="en-US" w:eastAsia="zh-CN" w:bidi="ar-SA"/>
        </w:rPr>
      </w:pPr>
      <w:r>
        <w:rPr>
          <w:rFonts w:hint="eastAsia" w:ascii="楷体" w:hAnsi="楷体" w:eastAsia="楷体" w:cs="宋体"/>
          <w:b w:val="0"/>
          <w:kern w:val="2"/>
          <w:sz w:val="36"/>
          <w:szCs w:val="36"/>
          <w:lang w:val="en-US" w:eastAsia="zh-CN" w:bidi="ar-SA"/>
        </w:rPr>
        <w:t>　　（三）是否符合适用例外规定的情形和条件。如不符合，提出调整建议。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textAlignment w:val="baseline"/>
        <w:rPr>
          <w:rFonts w:hint="eastAsia" w:ascii="楷体" w:hAnsi="楷体" w:eastAsia="楷体" w:cs="宋体"/>
          <w:b w:val="0"/>
          <w:kern w:val="2"/>
          <w:sz w:val="36"/>
          <w:szCs w:val="36"/>
          <w:lang w:val="en-US" w:eastAsia="zh-CN" w:bidi="ar-SA"/>
        </w:rPr>
      </w:pPr>
      <w:r>
        <w:rPr>
          <w:rFonts w:hint="eastAsia" w:ascii="楷体" w:hAnsi="楷体" w:eastAsia="楷体" w:cs="宋体"/>
          <w:b w:val="0"/>
          <w:kern w:val="2"/>
          <w:sz w:val="36"/>
          <w:szCs w:val="36"/>
          <w:lang w:val="en-US" w:eastAsia="zh-CN" w:bidi="ar-SA"/>
        </w:rPr>
        <w:t>　　第八条 对经公平竞争审查出台的政策措施进行定期评估时引入第三方评估，应当重点评估以下内容：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textAlignment w:val="baseline"/>
        <w:rPr>
          <w:rFonts w:hint="eastAsia" w:ascii="楷体" w:hAnsi="楷体" w:eastAsia="楷体" w:cs="宋体"/>
          <w:b w:val="0"/>
          <w:kern w:val="2"/>
          <w:sz w:val="36"/>
          <w:szCs w:val="36"/>
          <w:lang w:val="en-US" w:eastAsia="zh-CN" w:bidi="ar-SA"/>
        </w:rPr>
      </w:pPr>
      <w:r>
        <w:rPr>
          <w:rFonts w:hint="eastAsia" w:ascii="楷体" w:hAnsi="楷体" w:eastAsia="楷体" w:cs="宋体"/>
          <w:b w:val="0"/>
          <w:kern w:val="2"/>
          <w:sz w:val="36"/>
          <w:szCs w:val="36"/>
          <w:lang w:val="en-US" w:eastAsia="zh-CN" w:bidi="ar-SA"/>
        </w:rPr>
        <w:t>　　（一）此前做出的审查结论是否符合《意见》要求；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textAlignment w:val="baseline"/>
        <w:rPr>
          <w:rFonts w:hint="eastAsia" w:ascii="楷体" w:hAnsi="楷体" w:eastAsia="楷体" w:cs="宋体"/>
          <w:b w:val="0"/>
          <w:kern w:val="2"/>
          <w:sz w:val="36"/>
          <w:szCs w:val="36"/>
          <w:lang w:val="en-US" w:eastAsia="zh-CN" w:bidi="ar-SA"/>
        </w:rPr>
      </w:pPr>
      <w:r>
        <w:rPr>
          <w:rFonts w:hint="eastAsia" w:ascii="楷体" w:hAnsi="楷体" w:eastAsia="楷体" w:cs="宋体"/>
          <w:b w:val="0"/>
          <w:kern w:val="2"/>
          <w:sz w:val="36"/>
          <w:szCs w:val="36"/>
          <w:lang w:val="en-US" w:eastAsia="zh-CN" w:bidi="ar-SA"/>
        </w:rPr>
        <w:t>　　（二）政策措施出台后是否产生新的排除、限制竞争问题；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textAlignment w:val="baseline"/>
        <w:rPr>
          <w:rFonts w:hint="eastAsia" w:ascii="楷体" w:hAnsi="楷体" w:eastAsia="楷体" w:cs="宋体"/>
          <w:b w:val="0"/>
          <w:kern w:val="2"/>
          <w:sz w:val="36"/>
          <w:szCs w:val="36"/>
          <w:lang w:val="en-US" w:eastAsia="zh-CN" w:bidi="ar-SA"/>
        </w:rPr>
      </w:pPr>
      <w:r>
        <w:rPr>
          <w:rFonts w:hint="eastAsia" w:ascii="楷体" w:hAnsi="楷体" w:eastAsia="楷体" w:cs="宋体"/>
          <w:b w:val="0"/>
          <w:kern w:val="2"/>
          <w:sz w:val="36"/>
          <w:szCs w:val="36"/>
          <w:lang w:val="en-US" w:eastAsia="zh-CN" w:bidi="ar-SA"/>
        </w:rPr>
        <w:t>　　（三）法律法规政策变动情况对政策措施实施的影响；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textAlignment w:val="baseline"/>
        <w:rPr>
          <w:rFonts w:hint="eastAsia" w:ascii="楷体" w:hAnsi="楷体" w:eastAsia="楷体" w:cs="宋体"/>
          <w:b w:val="0"/>
          <w:kern w:val="2"/>
          <w:sz w:val="36"/>
          <w:szCs w:val="36"/>
          <w:lang w:val="en-US" w:eastAsia="zh-CN" w:bidi="ar-SA"/>
        </w:rPr>
      </w:pPr>
      <w:r>
        <w:rPr>
          <w:rFonts w:hint="eastAsia" w:ascii="楷体" w:hAnsi="楷体" w:eastAsia="楷体" w:cs="宋体"/>
          <w:b w:val="0"/>
          <w:kern w:val="2"/>
          <w:sz w:val="36"/>
          <w:szCs w:val="36"/>
          <w:lang w:val="en-US" w:eastAsia="zh-CN" w:bidi="ar-SA"/>
        </w:rPr>
        <w:t>　　（四）对评估发现排除、限制竞争的政策措施提出调整建议。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textAlignment w:val="baseline"/>
        <w:rPr>
          <w:rFonts w:hint="eastAsia" w:ascii="楷体" w:hAnsi="楷体" w:eastAsia="楷体" w:cs="宋体"/>
          <w:b w:val="0"/>
          <w:kern w:val="2"/>
          <w:sz w:val="36"/>
          <w:szCs w:val="36"/>
          <w:lang w:val="en-US" w:eastAsia="zh-CN" w:bidi="ar-SA"/>
        </w:rPr>
      </w:pPr>
      <w:r>
        <w:rPr>
          <w:rFonts w:hint="eastAsia" w:ascii="楷体" w:hAnsi="楷体" w:eastAsia="楷体" w:cs="宋体"/>
          <w:b w:val="0"/>
          <w:kern w:val="2"/>
          <w:sz w:val="36"/>
          <w:szCs w:val="36"/>
          <w:lang w:val="en-US" w:eastAsia="zh-CN" w:bidi="ar-SA"/>
        </w:rPr>
        <w:t>　　第九条 对适用例外规定出台的政策措施进行逐年评估时引入第三方评估，应当重点评估以下内容：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textAlignment w:val="baseline"/>
        <w:rPr>
          <w:rFonts w:hint="eastAsia" w:ascii="楷体" w:hAnsi="楷体" w:eastAsia="楷体" w:cs="宋体"/>
          <w:b w:val="0"/>
          <w:kern w:val="2"/>
          <w:sz w:val="36"/>
          <w:szCs w:val="36"/>
          <w:lang w:val="en-US" w:eastAsia="zh-CN" w:bidi="ar-SA"/>
        </w:rPr>
      </w:pPr>
      <w:r>
        <w:rPr>
          <w:rFonts w:hint="eastAsia" w:ascii="楷体" w:hAnsi="楷体" w:eastAsia="楷体" w:cs="宋体"/>
          <w:b w:val="0"/>
          <w:kern w:val="2"/>
          <w:sz w:val="36"/>
          <w:szCs w:val="36"/>
          <w:lang w:val="en-US" w:eastAsia="zh-CN" w:bidi="ar-SA"/>
        </w:rPr>
        <w:t>　　（一）此前做出的适用例外规定结论是否符合《意见》要求；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textAlignment w:val="baseline"/>
        <w:rPr>
          <w:rFonts w:hint="eastAsia" w:ascii="楷体" w:hAnsi="楷体" w:eastAsia="楷体" w:cs="宋体"/>
          <w:b w:val="0"/>
          <w:kern w:val="2"/>
          <w:sz w:val="36"/>
          <w:szCs w:val="36"/>
          <w:lang w:val="en-US" w:eastAsia="zh-CN" w:bidi="ar-SA"/>
        </w:rPr>
      </w:pPr>
      <w:r>
        <w:rPr>
          <w:rFonts w:hint="eastAsia" w:ascii="楷体" w:hAnsi="楷体" w:eastAsia="楷体" w:cs="宋体"/>
          <w:b w:val="0"/>
          <w:kern w:val="2"/>
          <w:sz w:val="36"/>
          <w:szCs w:val="36"/>
          <w:lang w:val="en-US" w:eastAsia="zh-CN" w:bidi="ar-SA"/>
        </w:rPr>
        <w:t>　　（二）政策措施是否达到预期效果；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textAlignment w:val="baseline"/>
        <w:rPr>
          <w:rFonts w:hint="eastAsia" w:ascii="楷体" w:hAnsi="楷体" w:eastAsia="楷体" w:cs="宋体"/>
          <w:b w:val="0"/>
          <w:kern w:val="2"/>
          <w:sz w:val="36"/>
          <w:szCs w:val="36"/>
          <w:lang w:val="en-US" w:eastAsia="zh-CN" w:bidi="ar-SA"/>
        </w:rPr>
      </w:pPr>
      <w:r>
        <w:rPr>
          <w:rFonts w:hint="eastAsia" w:ascii="楷体" w:hAnsi="楷体" w:eastAsia="楷体" w:cs="宋体"/>
          <w:b w:val="0"/>
          <w:kern w:val="2"/>
          <w:sz w:val="36"/>
          <w:szCs w:val="36"/>
          <w:lang w:val="en-US" w:eastAsia="zh-CN" w:bidi="ar-SA"/>
        </w:rPr>
        <w:t>　　（三）政策措施出台后是否出现对竞争损害更小的替代方案；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textAlignment w:val="baseline"/>
        <w:rPr>
          <w:rFonts w:hint="eastAsia" w:ascii="楷体" w:hAnsi="楷体" w:eastAsia="楷体" w:cs="宋体"/>
          <w:b w:val="0"/>
          <w:kern w:val="2"/>
          <w:sz w:val="36"/>
          <w:szCs w:val="36"/>
          <w:lang w:val="en-US" w:eastAsia="zh-CN" w:bidi="ar-SA"/>
        </w:rPr>
      </w:pPr>
      <w:r>
        <w:rPr>
          <w:rFonts w:hint="eastAsia" w:ascii="楷体" w:hAnsi="楷体" w:eastAsia="楷体" w:cs="宋体"/>
          <w:b w:val="0"/>
          <w:kern w:val="2"/>
          <w:sz w:val="36"/>
          <w:szCs w:val="36"/>
          <w:lang w:val="en-US" w:eastAsia="zh-CN" w:bidi="ar-SA"/>
        </w:rPr>
        <w:t>　　（四）法律法规政策变动情况对政策措施实施的影响；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textAlignment w:val="baseline"/>
        <w:rPr>
          <w:rFonts w:hint="eastAsia" w:ascii="楷体" w:hAnsi="楷体" w:eastAsia="楷体" w:cs="宋体"/>
          <w:b w:val="0"/>
          <w:kern w:val="2"/>
          <w:sz w:val="36"/>
          <w:szCs w:val="36"/>
          <w:lang w:val="en-US" w:eastAsia="zh-CN" w:bidi="ar-SA"/>
        </w:rPr>
      </w:pPr>
      <w:r>
        <w:rPr>
          <w:rFonts w:hint="eastAsia" w:ascii="楷体" w:hAnsi="楷体" w:eastAsia="楷体" w:cs="宋体"/>
          <w:b w:val="0"/>
          <w:kern w:val="2"/>
          <w:sz w:val="36"/>
          <w:szCs w:val="36"/>
          <w:lang w:val="en-US" w:eastAsia="zh-CN" w:bidi="ar-SA"/>
        </w:rPr>
        <w:t>　　（五）对评估发现不符合例外规定的政策措施提出调整建议。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textAlignment w:val="baseline"/>
        <w:rPr>
          <w:rFonts w:hint="eastAsia" w:ascii="楷体" w:hAnsi="楷体" w:eastAsia="楷体" w:cs="宋体"/>
          <w:b w:val="0"/>
          <w:kern w:val="2"/>
          <w:sz w:val="36"/>
          <w:szCs w:val="36"/>
          <w:lang w:val="en-US" w:eastAsia="zh-CN" w:bidi="ar-SA"/>
        </w:rPr>
      </w:pPr>
      <w:r>
        <w:rPr>
          <w:rFonts w:hint="eastAsia" w:ascii="楷体" w:hAnsi="楷体" w:eastAsia="楷体" w:cs="宋体"/>
          <w:b w:val="0"/>
          <w:kern w:val="2"/>
          <w:sz w:val="36"/>
          <w:szCs w:val="36"/>
          <w:lang w:val="en-US" w:eastAsia="zh-CN" w:bidi="ar-SA"/>
        </w:rPr>
        <w:t>　　第十条 对公平竞争审查制度实施前已出台的政策措施进行清理时引入第三方评估，应当重点评估以下内容：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textAlignment w:val="baseline"/>
        <w:rPr>
          <w:rFonts w:hint="eastAsia" w:ascii="楷体" w:hAnsi="楷体" w:eastAsia="楷体" w:cs="宋体"/>
          <w:b w:val="0"/>
          <w:kern w:val="2"/>
          <w:sz w:val="36"/>
          <w:szCs w:val="36"/>
          <w:lang w:val="en-US" w:eastAsia="zh-CN" w:bidi="ar-SA"/>
        </w:rPr>
      </w:pPr>
      <w:r>
        <w:rPr>
          <w:rFonts w:hint="eastAsia" w:ascii="楷体" w:hAnsi="楷体" w:eastAsia="楷体" w:cs="宋体"/>
          <w:b w:val="0"/>
          <w:kern w:val="2"/>
          <w:sz w:val="36"/>
          <w:szCs w:val="36"/>
          <w:lang w:val="en-US" w:eastAsia="zh-CN" w:bidi="ar-SA"/>
        </w:rPr>
        <w:t>　　（一）梳理属于清理范围的政策措施清单；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textAlignment w:val="baseline"/>
        <w:rPr>
          <w:rFonts w:hint="eastAsia" w:ascii="楷体" w:hAnsi="楷体" w:eastAsia="楷体" w:cs="宋体"/>
          <w:b w:val="0"/>
          <w:kern w:val="2"/>
          <w:sz w:val="36"/>
          <w:szCs w:val="36"/>
          <w:lang w:val="en-US" w:eastAsia="zh-CN" w:bidi="ar-SA"/>
        </w:rPr>
      </w:pPr>
      <w:r>
        <w:rPr>
          <w:rFonts w:hint="eastAsia" w:ascii="楷体" w:hAnsi="楷体" w:eastAsia="楷体" w:cs="宋体"/>
          <w:b w:val="0"/>
          <w:kern w:val="2"/>
          <w:sz w:val="36"/>
          <w:szCs w:val="36"/>
          <w:lang w:val="en-US" w:eastAsia="zh-CN" w:bidi="ar-SA"/>
        </w:rPr>
        <w:t>　　（二）评估相关政策措施是否排除、限制竞争；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textAlignment w:val="baseline"/>
        <w:rPr>
          <w:rFonts w:hint="eastAsia" w:ascii="楷体" w:hAnsi="楷体" w:eastAsia="楷体" w:cs="宋体"/>
          <w:b w:val="0"/>
          <w:kern w:val="2"/>
          <w:sz w:val="36"/>
          <w:szCs w:val="36"/>
          <w:lang w:val="en-US" w:eastAsia="zh-CN" w:bidi="ar-SA"/>
        </w:rPr>
      </w:pPr>
      <w:r>
        <w:rPr>
          <w:rFonts w:hint="eastAsia" w:ascii="楷体" w:hAnsi="楷体" w:eastAsia="楷体" w:cs="宋体"/>
          <w:b w:val="0"/>
          <w:kern w:val="2"/>
          <w:sz w:val="36"/>
          <w:szCs w:val="36"/>
          <w:lang w:val="en-US" w:eastAsia="zh-CN" w:bidi="ar-SA"/>
        </w:rPr>
        <w:t>　　（三）对排除、限制竞争的政策措施提出废止、调整、设置过渡期、适用例外规定等建议。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textAlignment w:val="baseline"/>
        <w:rPr>
          <w:rFonts w:hint="eastAsia" w:ascii="楷体" w:hAnsi="楷体" w:eastAsia="楷体" w:cs="宋体"/>
          <w:b w:val="0"/>
          <w:kern w:val="2"/>
          <w:sz w:val="36"/>
          <w:szCs w:val="36"/>
          <w:lang w:val="en-US" w:eastAsia="zh-CN" w:bidi="ar-SA"/>
        </w:rPr>
      </w:pPr>
      <w:r>
        <w:rPr>
          <w:rFonts w:hint="eastAsia" w:ascii="楷体" w:hAnsi="楷体" w:eastAsia="楷体" w:cs="宋体"/>
          <w:b w:val="0"/>
          <w:kern w:val="2"/>
          <w:sz w:val="36"/>
          <w:szCs w:val="36"/>
          <w:lang w:val="en-US" w:eastAsia="zh-CN" w:bidi="ar-SA"/>
        </w:rPr>
        <w:t>　　第十一条 对公平竞争审查制度实施情况进行综合评估时引入第三方评估，应当重点评估以下内容：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textAlignment w:val="baseline"/>
        <w:rPr>
          <w:rFonts w:hint="eastAsia" w:ascii="楷体" w:hAnsi="楷体" w:eastAsia="楷体" w:cs="宋体"/>
          <w:b w:val="0"/>
          <w:kern w:val="2"/>
          <w:sz w:val="36"/>
          <w:szCs w:val="36"/>
          <w:lang w:val="en-US" w:eastAsia="zh-CN" w:bidi="ar-SA"/>
        </w:rPr>
      </w:pPr>
      <w:r>
        <w:rPr>
          <w:rFonts w:hint="eastAsia" w:ascii="楷体" w:hAnsi="楷体" w:eastAsia="楷体" w:cs="宋体"/>
          <w:b w:val="0"/>
          <w:kern w:val="2"/>
          <w:sz w:val="36"/>
          <w:szCs w:val="36"/>
          <w:lang w:val="en-US" w:eastAsia="zh-CN" w:bidi="ar-SA"/>
        </w:rPr>
        <w:t>　　（一）工作部署落实情况，包括印发方案、建立机制、督查指导、宣传培训等；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textAlignment w:val="baseline"/>
        <w:rPr>
          <w:rFonts w:hint="eastAsia" w:ascii="楷体" w:hAnsi="楷体" w:eastAsia="楷体" w:cs="宋体"/>
          <w:b w:val="0"/>
          <w:kern w:val="2"/>
          <w:sz w:val="36"/>
          <w:szCs w:val="36"/>
          <w:lang w:val="en-US" w:eastAsia="zh-CN" w:bidi="ar-SA"/>
        </w:rPr>
      </w:pPr>
      <w:r>
        <w:rPr>
          <w:rFonts w:hint="eastAsia" w:ascii="楷体" w:hAnsi="楷体" w:eastAsia="楷体" w:cs="宋体"/>
          <w:b w:val="0"/>
          <w:kern w:val="2"/>
          <w:sz w:val="36"/>
          <w:szCs w:val="36"/>
          <w:lang w:val="en-US" w:eastAsia="zh-CN" w:bidi="ar-SA"/>
        </w:rPr>
        <w:t>　　（二）增量政策措施审查情况，包括审查范围是否全面，审查流程是否规范、审查结论是否准确等；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textAlignment w:val="baseline"/>
        <w:rPr>
          <w:rFonts w:hint="eastAsia" w:ascii="楷体" w:hAnsi="楷体" w:eastAsia="楷体" w:cs="宋体"/>
          <w:b w:val="0"/>
          <w:kern w:val="2"/>
          <w:sz w:val="36"/>
          <w:szCs w:val="36"/>
          <w:lang w:val="en-US" w:eastAsia="zh-CN" w:bidi="ar-SA"/>
        </w:rPr>
      </w:pPr>
      <w:r>
        <w:rPr>
          <w:rFonts w:hint="eastAsia" w:ascii="楷体" w:hAnsi="楷体" w:eastAsia="楷体" w:cs="宋体"/>
          <w:b w:val="0"/>
          <w:kern w:val="2"/>
          <w:sz w:val="36"/>
          <w:szCs w:val="36"/>
          <w:lang w:val="en-US" w:eastAsia="zh-CN" w:bidi="ar-SA"/>
        </w:rPr>
        <w:t>　　（三）存量政策措施清理情况，包括清理任务是否完成、清理范围是否全面、清理结果是否准确等；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textAlignment w:val="baseline"/>
        <w:rPr>
          <w:rFonts w:hint="eastAsia" w:ascii="楷体" w:hAnsi="楷体" w:eastAsia="楷体" w:cs="宋体"/>
          <w:b w:val="0"/>
          <w:kern w:val="2"/>
          <w:sz w:val="36"/>
          <w:szCs w:val="36"/>
          <w:lang w:val="en-US" w:eastAsia="zh-CN" w:bidi="ar-SA"/>
        </w:rPr>
      </w:pPr>
      <w:r>
        <w:rPr>
          <w:rFonts w:hint="eastAsia" w:ascii="楷体" w:hAnsi="楷体" w:eastAsia="楷体" w:cs="宋体"/>
          <w:b w:val="0"/>
          <w:kern w:val="2"/>
          <w:sz w:val="36"/>
          <w:szCs w:val="36"/>
          <w:lang w:val="en-US" w:eastAsia="zh-CN" w:bidi="ar-SA"/>
        </w:rPr>
        <w:t>　　（四）制度实施成效，包括经审查调整政策措施的情况、经清理废止调整政策措施的情况，以及公平竞争审查在预防和纠正行政性垄断、维护市场公平竞争、促进经济高质量发展等方面的作用等；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textAlignment w:val="baseline"/>
        <w:rPr>
          <w:rFonts w:hint="eastAsia" w:ascii="楷体" w:hAnsi="楷体" w:eastAsia="楷体" w:cs="宋体"/>
          <w:b w:val="0"/>
          <w:kern w:val="2"/>
          <w:sz w:val="36"/>
          <w:szCs w:val="36"/>
          <w:lang w:val="en-US" w:eastAsia="zh-CN" w:bidi="ar-SA"/>
        </w:rPr>
      </w:pPr>
      <w:r>
        <w:rPr>
          <w:rFonts w:hint="eastAsia" w:ascii="楷体" w:hAnsi="楷体" w:eastAsia="楷体" w:cs="宋体"/>
          <w:b w:val="0"/>
          <w:kern w:val="2"/>
          <w:sz w:val="36"/>
          <w:szCs w:val="36"/>
          <w:lang w:val="en-US" w:eastAsia="zh-CN" w:bidi="ar-SA"/>
        </w:rPr>
        <w:t>　　（五）总结分析制度实施中存在的问题，提炼可复制、可推广、能示范的制度性、机制性经验等；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textAlignment w:val="baseline"/>
        <w:rPr>
          <w:rFonts w:hint="eastAsia" w:ascii="楷体" w:hAnsi="楷体" w:eastAsia="楷体" w:cs="宋体"/>
          <w:b w:val="0"/>
          <w:kern w:val="2"/>
          <w:sz w:val="36"/>
          <w:szCs w:val="36"/>
          <w:lang w:val="en-US" w:eastAsia="zh-CN" w:bidi="ar-SA"/>
        </w:rPr>
      </w:pPr>
      <w:r>
        <w:rPr>
          <w:rFonts w:hint="eastAsia" w:ascii="楷体" w:hAnsi="楷体" w:eastAsia="楷体" w:cs="宋体"/>
          <w:b w:val="0"/>
          <w:kern w:val="2"/>
          <w:sz w:val="36"/>
          <w:szCs w:val="36"/>
          <w:lang w:val="en-US" w:eastAsia="zh-CN" w:bidi="ar-SA"/>
        </w:rPr>
        <w:t>　　（六）利害关系人、社会公众以及新闻媒体对制度实施情况的相关评价和意见建议等；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textAlignment w:val="baseline"/>
        <w:rPr>
          <w:rFonts w:hint="eastAsia" w:ascii="楷体" w:hAnsi="楷体" w:eastAsia="楷体" w:cs="宋体"/>
          <w:b w:val="0"/>
          <w:kern w:val="2"/>
          <w:sz w:val="36"/>
          <w:szCs w:val="36"/>
          <w:lang w:val="en-US" w:eastAsia="zh-CN" w:bidi="ar-SA"/>
        </w:rPr>
      </w:pPr>
      <w:r>
        <w:rPr>
          <w:rFonts w:hint="eastAsia" w:ascii="楷体" w:hAnsi="楷体" w:eastAsia="楷体" w:cs="宋体"/>
          <w:b w:val="0"/>
          <w:kern w:val="2"/>
          <w:sz w:val="36"/>
          <w:szCs w:val="36"/>
          <w:lang w:val="en-US" w:eastAsia="zh-CN" w:bidi="ar-SA"/>
        </w:rPr>
        <w:t>　　（七）其他与公平竞争审查工作相关的内容。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textAlignment w:val="baseline"/>
        <w:rPr>
          <w:rFonts w:hint="eastAsia" w:ascii="楷体" w:hAnsi="楷体" w:eastAsia="楷体" w:cs="宋体"/>
          <w:b w:val="0"/>
          <w:kern w:val="2"/>
          <w:sz w:val="36"/>
          <w:szCs w:val="36"/>
          <w:lang w:val="en-US" w:eastAsia="zh-CN" w:bidi="ar-SA"/>
        </w:rPr>
      </w:pPr>
      <w:r>
        <w:rPr>
          <w:rFonts w:hint="eastAsia" w:ascii="楷体" w:hAnsi="楷体" w:eastAsia="楷体" w:cs="宋体"/>
          <w:b w:val="0"/>
          <w:kern w:val="2"/>
          <w:sz w:val="36"/>
          <w:szCs w:val="36"/>
          <w:lang w:val="en-US" w:eastAsia="zh-CN" w:bidi="ar-SA"/>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textAlignment w:val="baseline"/>
        <w:rPr>
          <w:rFonts w:hint="eastAsia" w:ascii="楷体" w:hAnsi="楷体" w:eastAsia="楷体" w:cs="宋体"/>
          <w:b w:val="0"/>
          <w:kern w:val="2"/>
          <w:sz w:val="36"/>
          <w:szCs w:val="36"/>
          <w:lang w:val="en-US" w:eastAsia="zh-CN" w:bidi="ar-SA"/>
        </w:rPr>
      </w:pPr>
      <w:r>
        <w:rPr>
          <w:rFonts w:hint="eastAsia" w:ascii="楷体" w:hAnsi="楷体" w:eastAsia="楷体" w:cs="宋体"/>
          <w:b w:val="0"/>
          <w:kern w:val="2"/>
          <w:sz w:val="36"/>
          <w:szCs w:val="36"/>
          <w:lang w:val="en-US" w:eastAsia="zh-CN" w:bidi="ar-SA"/>
        </w:rPr>
        <w:t>三、评估机构</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textAlignment w:val="baseline"/>
        <w:rPr>
          <w:rFonts w:hint="eastAsia" w:ascii="楷体" w:hAnsi="楷体" w:eastAsia="楷体" w:cs="宋体"/>
          <w:b w:val="0"/>
          <w:kern w:val="2"/>
          <w:sz w:val="36"/>
          <w:szCs w:val="36"/>
          <w:lang w:val="en-US" w:eastAsia="zh-CN" w:bidi="ar-SA"/>
        </w:rPr>
      </w:pPr>
      <w:r>
        <w:rPr>
          <w:rFonts w:hint="eastAsia" w:ascii="楷体" w:hAnsi="楷体" w:eastAsia="楷体" w:cs="宋体"/>
          <w:b w:val="0"/>
          <w:kern w:val="2"/>
          <w:sz w:val="36"/>
          <w:szCs w:val="36"/>
          <w:lang w:val="en-US" w:eastAsia="zh-CN" w:bidi="ar-SA"/>
        </w:rPr>
        <w:t>　　第十二条 本指南所称第三方评估机构，是指与政策制定机关及评估事项无利害关系，且具备相应评估能力的实体性咨询研究机构，包括政府决策咨询及评估机构、高等院校、科研院所、专业咨询公司、律师事务所及其他社会组织等。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textAlignment w:val="baseline"/>
        <w:rPr>
          <w:rFonts w:hint="eastAsia" w:ascii="楷体" w:hAnsi="楷体" w:eastAsia="楷体" w:cs="宋体"/>
          <w:b w:val="0"/>
          <w:kern w:val="2"/>
          <w:sz w:val="36"/>
          <w:szCs w:val="36"/>
          <w:lang w:val="en-US" w:eastAsia="zh-CN" w:bidi="ar-SA"/>
        </w:rPr>
      </w:pPr>
      <w:r>
        <w:rPr>
          <w:rFonts w:hint="eastAsia" w:ascii="楷体" w:hAnsi="楷体" w:eastAsia="楷体" w:cs="宋体"/>
          <w:b w:val="0"/>
          <w:kern w:val="2"/>
          <w:sz w:val="36"/>
          <w:szCs w:val="36"/>
          <w:lang w:val="en-US" w:eastAsia="zh-CN" w:bidi="ar-SA"/>
        </w:rPr>
        <w:t>　　第十三条 政策制定机关可以参考以下条件，选择第三方评估机构：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textAlignment w:val="baseline"/>
        <w:rPr>
          <w:rFonts w:hint="eastAsia" w:ascii="楷体" w:hAnsi="楷体" w:eastAsia="楷体" w:cs="宋体"/>
          <w:b w:val="0"/>
          <w:kern w:val="2"/>
          <w:sz w:val="36"/>
          <w:szCs w:val="36"/>
          <w:lang w:val="en-US" w:eastAsia="zh-CN" w:bidi="ar-SA"/>
        </w:rPr>
      </w:pPr>
      <w:r>
        <w:rPr>
          <w:rFonts w:hint="eastAsia" w:ascii="楷体" w:hAnsi="楷体" w:eastAsia="楷体" w:cs="宋体"/>
          <w:b w:val="0"/>
          <w:kern w:val="2"/>
          <w:sz w:val="36"/>
          <w:szCs w:val="36"/>
          <w:lang w:val="en-US" w:eastAsia="zh-CN" w:bidi="ar-SA"/>
        </w:rPr>
        <w:t>　　（一）遵守国家法律法规和行业相关规定，组织机构健全、内部管理规范；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textAlignment w:val="baseline"/>
        <w:rPr>
          <w:rFonts w:hint="eastAsia" w:ascii="楷体" w:hAnsi="楷体" w:eastAsia="楷体" w:cs="宋体"/>
          <w:b w:val="0"/>
          <w:kern w:val="2"/>
          <w:sz w:val="36"/>
          <w:szCs w:val="36"/>
          <w:lang w:val="en-US" w:eastAsia="zh-CN" w:bidi="ar-SA"/>
        </w:rPr>
      </w:pPr>
      <w:r>
        <w:rPr>
          <w:rFonts w:hint="eastAsia" w:ascii="楷体" w:hAnsi="楷体" w:eastAsia="楷体" w:cs="宋体"/>
          <w:b w:val="0"/>
          <w:kern w:val="2"/>
          <w:sz w:val="36"/>
          <w:szCs w:val="36"/>
          <w:lang w:val="en-US" w:eastAsia="zh-CN" w:bidi="ar-SA"/>
        </w:rPr>
        <w:t>　　（二）在法学、经济学、公共政策等领域具有一定的影响力，拥有专业的研究团队，具备评估所需的理论研究、数据收集分析和决策咨询能力；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textAlignment w:val="baseline"/>
        <w:rPr>
          <w:rFonts w:hint="eastAsia" w:ascii="楷体" w:hAnsi="楷体" w:eastAsia="楷体" w:cs="宋体"/>
          <w:b w:val="0"/>
          <w:kern w:val="2"/>
          <w:sz w:val="36"/>
          <w:szCs w:val="36"/>
          <w:lang w:val="en-US" w:eastAsia="zh-CN" w:bidi="ar-SA"/>
        </w:rPr>
      </w:pPr>
      <w:r>
        <w:rPr>
          <w:rFonts w:hint="eastAsia" w:ascii="楷体" w:hAnsi="楷体" w:eastAsia="楷体" w:cs="宋体"/>
          <w:b w:val="0"/>
          <w:kern w:val="2"/>
          <w:sz w:val="36"/>
          <w:szCs w:val="36"/>
          <w:lang w:val="en-US" w:eastAsia="zh-CN" w:bidi="ar-SA"/>
        </w:rPr>
        <w:t>　　（三）在组织机构、人员构成、经费来源上独立于政策制定机关；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textAlignment w:val="baseline"/>
        <w:rPr>
          <w:rFonts w:hint="eastAsia" w:ascii="楷体" w:hAnsi="楷体" w:eastAsia="楷体" w:cs="宋体"/>
          <w:b w:val="0"/>
          <w:kern w:val="2"/>
          <w:sz w:val="36"/>
          <w:szCs w:val="36"/>
          <w:lang w:val="en-US" w:eastAsia="zh-CN" w:bidi="ar-SA"/>
        </w:rPr>
      </w:pPr>
      <w:r>
        <w:rPr>
          <w:rFonts w:hint="eastAsia" w:ascii="楷体" w:hAnsi="楷体" w:eastAsia="楷体" w:cs="宋体"/>
          <w:b w:val="0"/>
          <w:kern w:val="2"/>
          <w:sz w:val="36"/>
          <w:szCs w:val="36"/>
          <w:lang w:val="en-US" w:eastAsia="zh-CN" w:bidi="ar-SA"/>
        </w:rPr>
        <w:t>　　（四）与所评估的政策措施及其他事项无利害关系；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textAlignment w:val="baseline"/>
        <w:rPr>
          <w:rFonts w:hint="eastAsia" w:ascii="楷体" w:hAnsi="楷体" w:eastAsia="楷体" w:cs="宋体"/>
          <w:b w:val="0"/>
          <w:kern w:val="2"/>
          <w:sz w:val="36"/>
          <w:szCs w:val="36"/>
          <w:lang w:val="en-US" w:eastAsia="zh-CN" w:bidi="ar-SA"/>
        </w:rPr>
      </w:pPr>
      <w:r>
        <w:rPr>
          <w:rFonts w:hint="eastAsia" w:ascii="楷体" w:hAnsi="楷体" w:eastAsia="楷体" w:cs="宋体"/>
          <w:b w:val="0"/>
          <w:kern w:val="2"/>
          <w:sz w:val="36"/>
          <w:szCs w:val="36"/>
          <w:lang w:val="en-US" w:eastAsia="zh-CN" w:bidi="ar-SA"/>
        </w:rPr>
        <w:t>　　（五）能够承担民事责任，社会信誉良好；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textAlignment w:val="baseline"/>
        <w:rPr>
          <w:rFonts w:hint="eastAsia" w:ascii="楷体" w:hAnsi="楷体" w:eastAsia="楷体" w:cs="宋体"/>
          <w:b w:val="0"/>
          <w:kern w:val="2"/>
          <w:sz w:val="36"/>
          <w:szCs w:val="36"/>
          <w:lang w:val="en-US" w:eastAsia="zh-CN" w:bidi="ar-SA"/>
        </w:rPr>
      </w:pPr>
      <w:r>
        <w:rPr>
          <w:rFonts w:hint="eastAsia" w:ascii="楷体" w:hAnsi="楷体" w:eastAsia="楷体" w:cs="宋体"/>
          <w:b w:val="0"/>
          <w:kern w:val="2"/>
          <w:sz w:val="36"/>
          <w:szCs w:val="36"/>
          <w:lang w:val="en-US" w:eastAsia="zh-CN" w:bidi="ar-SA"/>
        </w:rPr>
        <w:t>　　（六）具体评估所需的其他条件。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textAlignment w:val="baseline"/>
        <w:rPr>
          <w:rFonts w:hint="eastAsia" w:ascii="楷体" w:hAnsi="楷体" w:eastAsia="楷体" w:cs="宋体"/>
          <w:b w:val="0"/>
          <w:kern w:val="2"/>
          <w:sz w:val="36"/>
          <w:szCs w:val="36"/>
          <w:lang w:val="en-US" w:eastAsia="zh-CN" w:bidi="ar-SA"/>
        </w:rPr>
      </w:pPr>
      <w:r>
        <w:rPr>
          <w:rFonts w:hint="eastAsia" w:ascii="楷体" w:hAnsi="楷体" w:eastAsia="楷体" w:cs="宋体"/>
          <w:b w:val="0"/>
          <w:kern w:val="2"/>
          <w:sz w:val="36"/>
          <w:szCs w:val="36"/>
          <w:lang w:val="en-US" w:eastAsia="zh-CN" w:bidi="ar-SA"/>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textAlignment w:val="baseline"/>
        <w:rPr>
          <w:rFonts w:hint="eastAsia" w:ascii="楷体" w:hAnsi="楷体" w:eastAsia="楷体" w:cs="宋体"/>
          <w:b w:val="0"/>
          <w:kern w:val="2"/>
          <w:sz w:val="36"/>
          <w:szCs w:val="36"/>
          <w:lang w:val="en-US" w:eastAsia="zh-CN" w:bidi="ar-SA"/>
        </w:rPr>
      </w:pPr>
      <w:r>
        <w:rPr>
          <w:rFonts w:hint="eastAsia" w:ascii="楷体" w:hAnsi="楷体" w:eastAsia="楷体" w:cs="宋体"/>
          <w:b w:val="0"/>
          <w:kern w:val="2"/>
          <w:sz w:val="36"/>
          <w:szCs w:val="36"/>
          <w:lang w:val="en-US" w:eastAsia="zh-CN" w:bidi="ar-SA"/>
        </w:rPr>
        <w:t>四、评估程序和方法</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textAlignment w:val="baseline"/>
        <w:rPr>
          <w:rFonts w:hint="eastAsia" w:ascii="楷体" w:hAnsi="楷体" w:eastAsia="楷体" w:cs="宋体"/>
          <w:b w:val="0"/>
          <w:kern w:val="2"/>
          <w:sz w:val="36"/>
          <w:szCs w:val="36"/>
          <w:lang w:val="en-US" w:eastAsia="zh-CN" w:bidi="ar-SA"/>
        </w:rPr>
      </w:pPr>
      <w:r>
        <w:rPr>
          <w:rFonts w:hint="eastAsia" w:ascii="楷体" w:hAnsi="楷体" w:eastAsia="楷体" w:cs="宋体"/>
          <w:b w:val="0"/>
          <w:kern w:val="2"/>
          <w:sz w:val="36"/>
          <w:szCs w:val="36"/>
          <w:lang w:val="en-US" w:eastAsia="zh-CN" w:bidi="ar-SA"/>
        </w:rPr>
        <w:t>　　第十四条 第三方评估按照下列程序进行：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textAlignment w:val="baseline"/>
        <w:rPr>
          <w:rFonts w:hint="eastAsia" w:ascii="楷体" w:hAnsi="楷体" w:eastAsia="楷体" w:cs="宋体"/>
          <w:b w:val="0"/>
          <w:kern w:val="2"/>
          <w:sz w:val="36"/>
          <w:szCs w:val="36"/>
          <w:lang w:val="en-US" w:eastAsia="zh-CN" w:bidi="ar-SA"/>
        </w:rPr>
      </w:pPr>
      <w:r>
        <w:rPr>
          <w:rFonts w:hint="eastAsia" w:ascii="楷体" w:hAnsi="楷体" w:eastAsia="楷体" w:cs="宋体"/>
          <w:b w:val="0"/>
          <w:kern w:val="2"/>
          <w:sz w:val="36"/>
          <w:szCs w:val="36"/>
          <w:lang w:val="en-US" w:eastAsia="zh-CN" w:bidi="ar-SA"/>
        </w:rPr>
        <w:t>　　（一）确定评估事项。政策制定机关可以根据实际需要，自行决定将有关政策措施或者公平竞争审查其他工作委托第三方评估机构进行评估。委托工作由政策制定机关的公平竞争审查机构负责。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textAlignment w:val="baseline"/>
        <w:rPr>
          <w:rFonts w:hint="eastAsia" w:ascii="楷体" w:hAnsi="楷体" w:eastAsia="楷体" w:cs="宋体"/>
          <w:b w:val="0"/>
          <w:kern w:val="2"/>
          <w:sz w:val="36"/>
          <w:szCs w:val="36"/>
          <w:lang w:val="en-US" w:eastAsia="zh-CN" w:bidi="ar-SA"/>
        </w:rPr>
      </w:pPr>
      <w:r>
        <w:rPr>
          <w:rFonts w:hint="eastAsia" w:ascii="楷体" w:hAnsi="楷体" w:eastAsia="楷体" w:cs="宋体"/>
          <w:b w:val="0"/>
          <w:kern w:val="2"/>
          <w:sz w:val="36"/>
          <w:szCs w:val="36"/>
          <w:lang w:val="en-US" w:eastAsia="zh-CN" w:bidi="ar-SA"/>
        </w:rPr>
        <w:t>　　（二）选择评估机构。政策制定机关通过政府采购确定第三方评估机构，签订委托协议，明确评估事项、质量要求、评估费用、评估时限、权责关系及违约责任等。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textAlignment w:val="baseline"/>
        <w:rPr>
          <w:rFonts w:hint="eastAsia" w:ascii="楷体" w:hAnsi="楷体" w:eastAsia="楷体" w:cs="宋体"/>
          <w:b w:val="0"/>
          <w:kern w:val="2"/>
          <w:sz w:val="36"/>
          <w:szCs w:val="36"/>
          <w:lang w:val="en-US" w:eastAsia="zh-CN" w:bidi="ar-SA"/>
        </w:rPr>
      </w:pPr>
      <w:r>
        <w:rPr>
          <w:rFonts w:hint="eastAsia" w:ascii="楷体" w:hAnsi="楷体" w:eastAsia="楷体" w:cs="宋体"/>
          <w:b w:val="0"/>
          <w:kern w:val="2"/>
          <w:sz w:val="36"/>
          <w:szCs w:val="36"/>
          <w:lang w:val="en-US" w:eastAsia="zh-CN" w:bidi="ar-SA"/>
        </w:rPr>
        <w:t>　　按照本指南第七条规定对相关政策措施进行事前评估后，再按照第八条或者第九条规定对同一项政策措施进行事后评估，原则上不得委托同一个第三方评估机构。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textAlignment w:val="baseline"/>
        <w:rPr>
          <w:rFonts w:hint="eastAsia" w:ascii="楷体" w:hAnsi="楷体" w:eastAsia="楷体" w:cs="宋体"/>
          <w:b w:val="0"/>
          <w:kern w:val="2"/>
          <w:sz w:val="36"/>
          <w:szCs w:val="36"/>
          <w:lang w:val="en-US" w:eastAsia="zh-CN" w:bidi="ar-SA"/>
        </w:rPr>
      </w:pPr>
      <w:r>
        <w:rPr>
          <w:rFonts w:hint="eastAsia" w:ascii="楷体" w:hAnsi="楷体" w:eastAsia="楷体" w:cs="宋体"/>
          <w:b w:val="0"/>
          <w:kern w:val="2"/>
          <w:sz w:val="36"/>
          <w:szCs w:val="36"/>
          <w:lang w:val="en-US" w:eastAsia="zh-CN" w:bidi="ar-SA"/>
        </w:rPr>
        <w:t>　　（三）制定评估方案。第三方评估机构根据政策制定机关的要求，组建评估小组，制定评估方案，明确具体的评估目标、内容、标准、方法、步骤、时间安排及成果形式等，经政策制定机关审核同意后组织实施。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textAlignment w:val="baseline"/>
        <w:rPr>
          <w:rFonts w:hint="eastAsia" w:ascii="楷体" w:hAnsi="楷体" w:eastAsia="楷体" w:cs="宋体"/>
          <w:b w:val="0"/>
          <w:kern w:val="2"/>
          <w:sz w:val="36"/>
          <w:szCs w:val="36"/>
          <w:lang w:val="en-US" w:eastAsia="zh-CN" w:bidi="ar-SA"/>
        </w:rPr>
      </w:pPr>
      <w:r>
        <w:rPr>
          <w:rFonts w:hint="eastAsia" w:ascii="楷体" w:hAnsi="楷体" w:eastAsia="楷体" w:cs="宋体"/>
          <w:b w:val="0"/>
          <w:kern w:val="2"/>
          <w:sz w:val="36"/>
          <w:szCs w:val="36"/>
          <w:lang w:val="en-US" w:eastAsia="zh-CN" w:bidi="ar-SA"/>
        </w:rPr>
        <w:t>　　（四）开展评估工作。第三方评估机构通过全面调查、抽样调查、网络调查、实地调研、舆情跟踪、专家论证等方式方法，汇总收集相关信息，广泛听取意见建议，全面了解真实情况，深入开展研究分析，形成评估报告。评估报告一般应包括基本情况、评估内容、评估方法、评估结论、意见建议、评估机构主要负责人及参与评估工作人员的签名、评估机构盖章以及需要说明的其他问题等。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textAlignment w:val="baseline"/>
        <w:rPr>
          <w:rFonts w:hint="eastAsia" w:ascii="楷体" w:hAnsi="楷体" w:eastAsia="楷体" w:cs="宋体"/>
          <w:b w:val="0"/>
          <w:kern w:val="2"/>
          <w:sz w:val="36"/>
          <w:szCs w:val="36"/>
          <w:lang w:val="en-US" w:eastAsia="zh-CN" w:bidi="ar-SA"/>
        </w:rPr>
      </w:pPr>
      <w:r>
        <w:rPr>
          <w:rFonts w:hint="eastAsia" w:ascii="楷体" w:hAnsi="楷体" w:eastAsia="楷体" w:cs="宋体"/>
          <w:b w:val="0"/>
          <w:kern w:val="2"/>
          <w:sz w:val="36"/>
          <w:szCs w:val="36"/>
          <w:lang w:val="en-US" w:eastAsia="zh-CN" w:bidi="ar-SA"/>
        </w:rPr>
        <w:t>　　（五）验收评估成果。政策制定机关对评估报告及其他评估工作情况进行验收。对符合评估方案要求的，履行成果交接、费用支付等手续；对不符合评估方案要求的，可以根据协议约定要求第三方评估机构限期补充评估或者重新评估。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textAlignment w:val="baseline"/>
        <w:rPr>
          <w:rFonts w:hint="eastAsia" w:ascii="楷体" w:hAnsi="楷体" w:eastAsia="楷体" w:cs="宋体"/>
          <w:b w:val="0"/>
          <w:kern w:val="2"/>
          <w:sz w:val="36"/>
          <w:szCs w:val="36"/>
          <w:lang w:val="en-US" w:eastAsia="zh-CN" w:bidi="ar-SA"/>
        </w:rPr>
      </w:pPr>
      <w:r>
        <w:rPr>
          <w:rFonts w:hint="eastAsia" w:ascii="楷体" w:hAnsi="楷体" w:eastAsia="楷体" w:cs="宋体"/>
          <w:b w:val="0"/>
          <w:kern w:val="2"/>
          <w:sz w:val="36"/>
          <w:szCs w:val="36"/>
          <w:lang w:val="en-US" w:eastAsia="zh-CN" w:bidi="ar-SA"/>
        </w:rPr>
        <w:t>　　第十五条 第三方评估应当遵循《意见》明确的基本分析框架和审查标准，并综合运用以下方法进行全面、客观、系统、深入的评估。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textAlignment w:val="baseline"/>
        <w:rPr>
          <w:rFonts w:hint="eastAsia" w:ascii="楷体" w:hAnsi="楷体" w:eastAsia="楷体" w:cs="宋体"/>
          <w:b w:val="0"/>
          <w:kern w:val="2"/>
          <w:sz w:val="36"/>
          <w:szCs w:val="36"/>
          <w:lang w:val="en-US" w:eastAsia="zh-CN" w:bidi="ar-SA"/>
        </w:rPr>
      </w:pPr>
      <w:r>
        <w:rPr>
          <w:rFonts w:hint="eastAsia" w:ascii="楷体" w:hAnsi="楷体" w:eastAsia="楷体" w:cs="宋体"/>
          <w:b w:val="0"/>
          <w:kern w:val="2"/>
          <w:sz w:val="36"/>
          <w:szCs w:val="36"/>
          <w:lang w:val="en-US" w:eastAsia="zh-CN" w:bidi="ar-SA"/>
        </w:rPr>
        <w:t>　　（一）定性评估。通过汇总、梳理、提炼、归纳相关资料和信息，运用相关基础理论，对政策措施影响市场竞争情况、制度实施情况等形成客观的定性评估结果。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textAlignment w:val="baseline"/>
        <w:rPr>
          <w:rFonts w:hint="eastAsia" w:ascii="楷体" w:hAnsi="楷体" w:eastAsia="楷体" w:cs="宋体"/>
          <w:b w:val="0"/>
          <w:kern w:val="2"/>
          <w:sz w:val="36"/>
          <w:szCs w:val="36"/>
          <w:lang w:val="en-US" w:eastAsia="zh-CN" w:bidi="ar-SA"/>
        </w:rPr>
      </w:pPr>
      <w:r>
        <w:rPr>
          <w:rFonts w:hint="eastAsia" w:ascii="楷体" w:hAnsi="楷体" w:eastAsia="楷体" w:cs="宋体"/>
          <w:b w:val="0"/>
          <w:kern w:val="2"/>
          <w:sz w:val="36"/>
          <w:szCs w:val="36"/>
          <w:lang w:val="en-US" w:eastAsia="zh-CN" w:bidi="ar-SA"/>
        </w:rPr>
        <w:t>　　（二）定量评估。使用规范统计数据，运用科学计算方法，对政策措施对市场竞争的影响程度、制度实施成效等形成准确的量化评估结论。定量评估应更多应用现代信息技术。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textAlignment w:val="baseline"/>
        <w:rPr>
          <w:rFonts w:hint="eastAsia" w:ascii="楷体" w:hAnsi="楷体" w:eastAsia="楷体" w:cs="宋体"/>
          <w:b w:val="0"/>
          <w:kern w:val="2"/>
          <w:sz w:val="36"/>
          <w:szCs w:val="36"/>
          <w:lang w:val="en-US" w:eastAsia="zh-CN" w:bidi="ar-SA"/>
        </w:rPr>
      </w:pPr>
      <w:r>
        <w:rPr>
          <w:rFonts w:hint="eastAsia" w:ascii="楷体" w:hAnsi="楷体" w:eastAsia="楷体" w:cs="宋体"/>
          <w:b w:val="0"/>
          <w:kern w:val="2"/>
          <w:sz w:val="36"/>
          <w:szCs w:val="36"/>
          <w:lang w:val="en-US" w:eastAsia="zh-CN" w:bidi="ar-SA"/>
        </w:rPr>
        <w:t>　　（三）比较分析。对政策措施实施前后的市场竞争状况进行对比分析。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textAlignment w:val="baseline"/>
        <w:rPr>
          <w:rFonts w:hint="eastAsia" w:ascii="楷体" w:hAnsi="楷体" w:eastAsia="楷体" w:cs="宋体"/>
          <w:b w:val="0"/>
          <w:kern w:val="2"/>
          <w:sz w:val="36"/>
          <w:szCs w:val="36"/>
          <w:lang w:val="en-US" w:eastAsia="zh-CN" w:bidi="ar-SA"/>
        </w:rPr>
      </w:pPr>
      <w:r>
        <w:rPr>
          <w:rFonts w:hint="eastAsia" w:ascii="楷体" w:hAnsi="楷体" w:eastAsia="楷体" w:cs="宋体"/>
          <w:b w:val="0"/>
          <w:kern w:val="2"/>
          <w:sz w:val="36"/>
          <w:szCs w:val="36"/>
          <w:lang w:val="en-US" w:eastAsia="zh-CN" w:bidi="ar-SA"/>
        </w:rPr>
        <w:t>　　（四）成本效益分析。将可以量化的竞争损害成本与政策措施取得的其他效益进行对比分析。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textAlignment w:val="baseline"/>
        <w:rPr>
          <w:rFonts w:hint="eastAsia" w:ascii="楷体" w:hAnsi="楷体" w:eastAsia="楷体" w:cs="宋体"/>
          <w:b w:val="0"/>
          <w:kern w:val="2"/>
          <w:sz w:val="36"/>
          <w:szCs w:val="36"/>
          <w:lang w:val="en-US" w:eastAsia="zh-CN" w:bidi="ar-SA"/>
        </w:rPr>
      </w:pPr>
      <w:r>
        <w:rPr>
          <w:rFonts w:hint="eastAsia" w:ascii="楷体" w:hAnsi="楷体" w:eastAsia="楷体" w:cs="宋体"/>
          <w:b w:val="0"/>
          <w:kern w:val="2"/>
          <w:sz w:val="36"/>
          <w:szCs w:val="36"/>
          <w:lang w:val="en-US" w:eastAsia="zh-CN" w:bidi="ar-SA"/>
        </w:rPr>
        <w:t>　　（五）第三方评估机构认为有助于评估的其他方法。</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textAlignment w:val="baseline"/>
        <w:rPr>
          <w:rFonts w:hint="eastAsia" w:ascii="楷体" w:hAnsi="楷体" w:eastAsia="楷体" w:cs="宋体"/>
          <w:b w:val="0"/>
          <w:kern w:val="2"/>
          <w:sz w:val="36"/>
          <w:szCs w:val="36"/>
          <w:lang w:val="en-US" w:eastAsia="zh-CN" w:bidi="ar-SA"/>
        </w:rPr>
      </w:pPr>
      <w:r>
        <w:rPr>
          <w:rFonts w:hint="eastAsia" w:ascii="楷体" w:hAnsi="楷体" w:eastAsia="楷体" w:cs="宋体"/>
          <w:b w:val="0"/>
          <w:kern w:val="2"/>
          <w:sz w:val="36"/>
          <w:szCs w:val="36"/>
          <w:lang w:val="en-US" w:eastAsia="zh-CN" w:bidi="ar-SA"/>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textAlignment w:val="baseline"/>
        <w:rPr>
          <w:rFonts w:hint="eastAsia" w:ascii="楷体" w:hAnsi="楷体" w:eastAsia="楷体" w:cs="宋体"/>
          <w:b w:val="0"/>
          <w:kern w:val="2"/>
          <w:sz w:val="36"/>
          <w:szCs w:val="36"/>
          <w:lang w:val="en-US" w:eastAsia="zh-CN" w:bidi="ar-SA"/>
        </w:rPr>
      </w:pPr>
      <w:r>
        <w:rPr>
          <w:rFonts w:hint="eastAsia" w:ascii="楷体" w:hAnsi="楷体" w:eastAsia="楷体" w:cs="宋体"/>
          <w:b w:val="0"/>
          <w:kern w:val="2"/>
          <w:sz w:val="36"/>
          <w:szCs w:val="36"/>
          <w:lang w:val="en-US" w:eastAsia="zh-CN" w:bidi="ar-SA"/>
        </w:rPr>
        <w:t>五、评估成果及运用</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textAlignment w:val="baseline"/>
        <w:rPr>
          <w:rFonts w:hint="eastAsia" w:ascii="楷体" w:hAnsi="楷体" w:eastAsia="楷体" w:cs="宋体"/>
          <w:b w:val="0"/>
          <w:kern w:val="2"/>
          <w:sz w:val="36"/>
          <w:szCs w:val="36"/>
          <w:lang w:val="en-US" w:eastAsia="zh-CN" w:bidi="ar-SA"/>
        </w:rPr>
      </w:pPr>
      <w:r>
        <w:rPr>
          <w:rFonts w:hint="eastAsia" w:ascii="楷体" w:hAnsi="楷体" w:eastAsia="楷体" w:cs="宋体"/>
          <w:b w:val="0"/>
          <w:kern w:val="2"/>
          <w:sz w:val="36"/>
          <w:szCs w:val="36"/>
          <w:lang w:val="en-US" w:eastAsia="zh-CN" w:bidi="ar-SA"/>
        </w:rPr>
        <w:t>　　第十六条 评估成果所有权归政策制定机关所有。未经政策制定机关许可，第三方评估机构和有关个人不得对外披露、转让或许可他人使用相关成果。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textAlignment w:val="baseline"/>
        <w:rPr>
          <w:rFonts w:hint="eastAsia" w:ascii="楷体" w:hAnsi="楷体" w:eastAsia="楷体" w:cs="宋体"/>
          <w:b w:val="0"/>
          <w:kern w:val="2"/>
          <w:sz w:val="36"/>
          <w:szCs w:val="36"/>
          <w:lang w:val="en-US" w:eastAsia="zh-CN" w:bidi="ar-SA"/>
        </w:rPr>
      </w:pPr>
      <w:r>
        <w:rPr>
          <w:rFonts w:hint="eastAsia" w:ascii="楷体" w:hAnsi="楷体" w:eastAsia="楷体" w:cs="宋体"/>
          <w:b w:val="0"/>
          <w:kern w:val="2"/>
          <w:sz w:val="36"/>
          <w:szCs w:val="36"/>
          <w:lang w:val="en-US" w:eastAsia="zh-CN" w:bidi="ar-SA"/>
        </w:rPr>
        <w:t>　　第十七条 评估成果作为政策制定机关开展公平竞争审查、评价制度实施成效、制定工作推进方案的重要参考依据。鼓励各政策制定机关以适当方式共享评估成果。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textAlignment w:val="baseline"/>
        <w:rPr>
          <w:rFonts w:hint="eastAsia" w:ascii="楷体" w:hAnsi="楷体" w:eastAsia="楷体" w:cs="宋体"/>
          <w:b w:val="0"/>
          <w:kern w:val="2"/>
          <w:sz w:val="36"/>
          <w:szCs w:val="36"/>
          <w:lang w:val="en-US" w:eastAsia="zh-CN" w:bidi="ar-SA"/>
        </w:rPr>
      </w:pPr>
      <w:r>
        <w:rPr>
          <w:rFonts w:hint="eastAsia" w:ascii="楷体" w:hAnsi="楷体" w:eastAsia="楷体" w:cs="宋体"/>
          <w:b w:val="0"/>
          <w:kern w:val="2"/>
          <w:sz w:val="36"/>
          <w:szCs w:val="36"/>
          <w:lang w:val="en-US" w:eastAsia="zh-CN" w:bidi="ar-SA"/>
        </w:rPr>
        <w:t>　　第十八条 对拟出台的政策措施进行第三方评估的，政策制定机关应当在书面审查结论中说明评估相关情况。最终做出的审查结论与第三方评估结果不一致或者未采纳第三方评估相关意见建议的，应当在书面审查结论中说明理由。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textAlignment w:val="baseline"/>
        <w:rPr>
          <w:rFonts w:hint="eastAsia" w:ascii="楷体" w:hAnsi="楷体" w:eastAsia="楷体" w:cs="宋体"/>
          <w:b w:val="0"/>
          <w:kern w:val="2"/>
          <w:sz w:val="36"/>
          <w:szCs w:val="36"/>
          <w:lang w:val="en-US" w:eastAsia="zh-CN" w:bidi="ar-SA"/>
        </w:rPr>
      </w:pPr>
      <w:r>
        <w:rPr>
          <w:rFonts w:hint="eastAsia" w:ascii="楷体" w:hAnsi="楷体" w:eastAsia="楷体" w:cs="宋体"/>
          <w:b w:val="0"/>
          <w:kern w:val="2"/>
          <w:sz w:val="36"/>
          <w:szCs w:val="36"/>
          <w:lang w:val="en-US" w:eastAsia="zh-CN" w:bidi="ar-SA"/>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textAlignment w:val="baseline"/>
        <w:rPr>
          <w:rFonts w:hint="eastAsia" w:ascii="楷体" w:hAnsi="楷体" w:eastAsia="楷体" w:cs="宋体"/>
          <w:b w:val="0"/>
          <w:kern w:val="2"/>
          <w:sz w:val="36"/>
          <w:szCs w:val="36"/>
          <w:lang w:val="en-US" w:eastAsia="zh-CN" w:bidi="ar-SA"/>
        </w:rPr>
      </w:pPr>
      <w:r>
        <w:rPr>
          <w:rFonts w:hint="eastAsia" w:ascii="楷体" w:hAnsi="楷体" w:eastAsia="楷体" w:cs="宋体"/>
          <w:b w:val="0"/>
          <w:kern w:val="2"/>
          <w:sz w:val="36"/>
          <w:szCs w:val="36"/>
          <w:lang w:val="en-US" w:eastAsia="zh-CN" w:bidi="ar-SA"/>
        </w:rPr>
        <w:t>六、保障措施和纪律要求</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textAlignment w:val="baseline"/>
        <w:rPr>
          <w:rFonts w:hint="eastAsia" w:ascii="楷体" w:hAnsi="楷体" w:eastAsia="楷体" w:cs="宋体"/>
          <w:b w:val="0"/>
          <w:kern w:val="2"/>
          <w:sz w:val="36"/>
          <w:szCs w:val="36"/>
          <w:lang w:val="en-US" w:eastAsia="zh-CN" w:bidi="ar-SA"/>
        </w:rPr>
      </w:pPr>
      <w:r>
        <w:rPr>
          <w:rFonts w:hint="eastAsia" w:ascii="楷体" w:hAnsi="楷体" w:eastAsia="楷体" w:cs="宋体"/>
          <w:b w:val="0"/>
          <w:kern w:val="2"/>
          <w:sz w:val="36"/>
          <w:szCs w:val="36"/>
          <w:lang w:val="en-US" w:eastAsia="zh-CN" w:bidi="ar-SA"/>
        </w:rPr>
        <w:t>　　第十九条 第三方评估经费纳入政府预算管理，政策制定机关严格按照有关财务规定加强评估经费管理。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textAlignment w:val="baseline"/>
        <w:rPr>
          <w:rFonts w:hint="eastAsia" w:ascii="楷体" w:hAnsi="楷体" w:eastAsia="楷体" w:cs="宋体"/>
          <w:b w:val="0"/>
          <w:kern w:val="2"/>
          <w:sz w:val="36"/>
          <w:szCs w:val="36"/>
          <w:lang w:val="en-US" w:eastAsia="zh-CN" w:bidi="ar-SA"/>
        </w:rPr>
      </w:pPr>
      <w:r>
        <w:rPr>
          <w:rFonts w:hint="eastAsia" w:ascii="楷体" w:hAnsi="楷体" w:eastAsia="楷体" w:cs="宋体"/>
          <w:b w:val="0"/>
          <w:kern w:val="2"/>
          <w:sz w:val="36"/>
          <w:szCs w:val="36"/>
          <w:lang w:val="en-US" w:eastAsia="zh-CN" w:bidi="ar-SA"/>
        </w:rPr>
        <w:t>　　第二十条 政策制定机关在不影响正常工作的前提下，应当积极配合第三方评估工作，主动、全面、准确提供相关资料和情况，不得以任何形式干扰评估工作、敷衍应付评估活动或者预先设定评判性、结论性意见。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textAlignment w:val="baseline"/>
        <w:rPr>
          <w:rFonts w:hint="eastAsia" w:ascii="楷体" w:hAnsi="楷体" w:eastAsia="楷体" w:cs="宋体"/>
          <w:b w:val="0"/>
          <w:kern w:val="2"/>
          <w:sz w:val="36"/>
          <w:szCs w:val="36"/>
          <w:lang w:val="en-US" w:eastAsia="zh-CN" w:bidi="ar-SA"/>
        </w:rPr>
      </w:pPr>
      <w:r>
        <w:rPr>
          <w:rFonts w:hint="eastAsia" w:ascii="楷体" w:hAnsi="楷体" w:eastAsia="楷体" w:cs="宋体"/>
          <w:b w:val="0"/>
          <w:kern w:val="2"/>
          <w:sz w:val="36"/>
          <w:szCs w:val="36"/>
          <w:lang w:val="en-US" w:eastAsia="zh-CN" w:bidi="ar-SA"/>
        </w:rPr>
        <w:t>　　第二十一条 第三方评估机构及其工作人员应当严格遵守国家法律法规，严守职业道德和职业规范；严格履行保密义务，对评估工作中涉及国家秘密、商业秘密和个人隐私的必须严格保密，涉密文件和介质以及未公开的内部信息要严格按相关规定使用和保存；不得干扰政策制定机关正常工作，不得参与任何影响评估真实性、客观性、公正性的活动。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textAlignment w:val="baseline"/>
        <w:rPr>
          <w:rFonts w:hint="eastAsia" w:ascii="楷体" w:hAnsi="楷体" w:eastAsia="楷体" w:cs="宋体"/>
          <w:b w:val="0"/>
          <w:kern w:val="2"/>
          <w:sz w:val="36"/>
          <w:szCs w:val="36"/>
          <w:lang w:val="en-US" w:eastAsia="zh-CN" w:bidi="ar-SA"/>
        </w:rPr>
      </w:pPr>
      <w:r>
        <w:rPr>
          <w:rFonts w:hint="eastAsia" w:ascii="楷体" w:hAnsi="楷体" w:eastAsia="楷体" w:cs="宋体"/>
          <w:b w:val="0"/>
          <w:kern w:val="2"/>
          <w:sz w:val="36"/>
          <w:szCs w:val="36"/>
          <w:lang w:val="en-US" w:eastAsia="zh-CN" w:bidi="ar-SA"/>
        </w:rPr>
        <w:t>　　第二十二条 第三方评估机构在评估工作中出现以下情形之一的，有关政策制定机关应当及时向本级联席会议报告，由本级联席会议逐级上报部际联席会议，由部际联席会议进行通报：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textAlignment w:val="baseline"/>
        <w:rPr>
          <w:rFonts w:hint="eastAsia" w:ascii="楷体" w:hAnsi="楷体" w:eastAsia="楷体" w:cs="宋体"/>
          <w:b w:val="0"/>
          <w:kern w:val="2"/>
          <w:sz w:val="36"/>
          <w:szCs w:val="36"/>
          <w:lang w:val="en-US" w:eastAsia="zh-CN" w:bidi="ar-SA"/>
        </w:rPr>
      </w:pPr>
      <w:r>
        <w:rPr>
          <w:rFonts w:hint="eastAsia" w:ascii="楷体" w:hAnsi="楷体" w:eastAsia="楷体" w:cs="宋体"/>
          <w:b w:val="0"/>
          <w:kern w:val="2"/>
          <w:sz w:val="36"/>
          <w:szCs w:val="36"/>
          <w:lang w:val="en-US" w:eastAsia="zh-CN" w:bidi="ar-SA"/>
        </w:rPr>
        <w:t>　　（一）出现严重违规违约行为；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textAlignment w:val="baseline"/>
        <w:rPr>
          <w:rFonts w:hint="eastAsia" w:ascii="楷体" w:hAnsi="楷体" w:eastAsia="楷体" w:cs="宋体"/>
          <w:b w:val="0"/>
          <w:kern w:val="2"/>
          <w:sz w:val="36"/>
          <w:szCs w:val="36"/>
          <w:lang w:val="en-US" w:eastAsia="zh-CN" w:bidi="ar-SA"/>
        </w:rPr>
      </w:pPr>
      <w:r>
        <w:rPr>
          <w:rFonts w:hint="eastAsia" w:ascii="楷体" w:hAnsi="楷体" w:eastAsia="楷体" w:cs="宋体"/>
          <w:b w:val="0"/>
          <w:kern w:val="2"/>
          <w:sz w:val="36"/>
          <w:szCs w:val="36"/>
          <w:lang w:val="en-US" w:eastAsia="zh-CN" w:bidi="ar-SA"/>
        </w:rPr>
        <w:t>　　（二）政策制定机关根据第三方评估机构做出的评估报告得出公平竞争审查结论，并出台相关政策措施，被认定违反公平竞争审查标准。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textAlignment w:val="baseline"/>
        <w:rPr>
          <w:rFonts w:hint="eastAsia" w:ascii="楷体" w:hAnsi="楷体" w:eastAsia="楷体" w:cs="宋体"/>
          <w:b w:val="0"/>
          <w:kern w:val="2"/>
          <w:sz w:val="36"/>
          <w:szCs w:val="36"/>
          <w:lang w:val="en-US" w:eastAsia="zh-CN" w:bidi="ar-SA"/>
        </w:rPr>
      </w:pPr>
      <w:r>
        <w:rPr>
          <w:rFonts w:hint="eastAsia" w:ascii="楷体" w:hAnsi="楷体" w:eastAsia="楷体" w:cs="宋体"/>
          <w:b w:val="0"/>
          <w:kern w:val="2"/>
          <w:sz w:val="36"/>
          <w:szCs w:val="36"/>
          <w:lang w:val="en-US" w:eastAsia="zh-CN" w:bidi="ar-SA"/>
        </w:rPr>
        <w:t>　　对存在失信行为的，推送至全国信用信息共享平台，记入其信用档案。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textAlignment w:val="baseline"/>
        <w:rPr>
          <w:rFonts w:hint="eastAsia" w:ascii="楷体" w:hAnsi="楷体" w:eastAsia="楷体" w:cs="宋体"/>
          <w:b w:val="0"/>
          <w:kern w:val="2"/>
          <w:sz w:val="36"/>
          <w:szCs w:val="36"/>
          <w:lang w:val="en-US" w:eastAsia="zh-CN" w:bidi="ar-SA"/>
        </w:rPr>
      </w:pPr>
      <w:r>
        <w:rPr>
          <w:rFonts w:hint="eastAsia" w:ascii="楷体" w:hAnsi="楷体" w:eastAsia="楷体" w:cs="宋体"/>
          <w:b w:val="0"/>
          <w:kern w:val="2"/>
          <w:sz w:val="36"/>
          <w:szCs w:val="36"/>
          <w:lang w:val="en-US" w:eastAsia="zh-CN" w:bidi="ar-SA"/>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textAlignment w:val="baseline"/>
        <w:rPr>
          <w:rFonts w:hint="eastAsia" w:ascii="楷体" w:hAnsi="楷体" w:eastAsia="楷体" w:cs="宋体"/>
          <w:b w:val="0"/>
          <w:kern w:val="2"/>
          <w:sz w:val="36"/>
          <w:szCs w:val="36"/>
          <w:lang w:val="en-US" w:eastAsia="zh-CN" w:bidi="ar-SA"/>
        </w:rPr>
      </w:pPr>
      <w:r>
        <w:rPr>
          <w:rFonts w:hint="eastAsia" w:ascii="楷体" w:hAnsi="楷体" w:eastAsia="楷体" w:cs="宋体"/>
          <w:b w:val="0"/>
          <w:kern w:val="2"/>
          <w:sz w:val="36"/>
          <w:szCs w:val="36"/>
          <w:lang w:val="en-US" w:eastAsia="zh-CN" w:bidi="ar-SA"/>
        </w:rPr>
        <w:t>七、附则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textAlignment w:val="baseline"/>
        <w:rPr>
          <w:rFonts w:hint="eastAsia" w:ascii="楷体" w:hAnsi="楷体" w:eastAsia="楷体" w:cs="宋体"/>
          <w:b w:val="0"/>
          <w:kern w:val="2"/>
          <w:sz w:val="36"/>
          <w:szCs w:val="36"/>
          <w:lang w:val="en-US" w:eastAsia="zh-CN" w:bidi="ar-SA"/>
        </w:rPr>
      </w:pPr>
      <w:r>
        <w:rPr>
          <w:rFonts w:hint="eastAsia" w:ascii="楷体" w:hAnsi="楷体" w:eastAsia="楷体" w:cs="宋体"/>
          <w:b w:val="0"/>
          <w:kern w:val="2"/>
          <w:sz w:val="36"/>
          <w:szCs w:val="36"/>
          <w:lang w:val="en-US" w:eastAsia="zh-CN" w:bidi="ar-SA"/>
        </w:rPr>
        <w:t>　　第二十三条 本指南由公平竞争审查工作部际联席会议办公室负责解释。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textAlignment w:val="baseline"/>
        <w:rPr>
          <w:rFonts w:hint="eastAsia" w:ascii="楷体" w:hAnsi="楷体" w:eastAsia="楷体" w:cs="宋体"/>
          <w:kern w:val="2"/>
          <w:sz w:val="36"/>
          <w:szCs w:val="36"/>
          <w:lang w:val="en-US" w:eastAsia="zh-CN" w:bidi="ar-SA"/>
        </w:rPr>
      </w:pPr>
      <w:r>
        <w:rPr>
          <w:rFonts w:hint="eastAsia" w:ascii="楷体" w:hAnsi="楷体" w:eastAsia="楷体" w:cs="宋体"/>
          <w:b w:val="0"/>
          <w:kern w:val="2"/>
          <w:sz w:val="36"/>
          <w:szCs w:val="36"/>
          <w:lang w:val="en-US" w:eastAsia="zh-CN" w:bidi="ar-SA"/>
        </w:rPr>
        <w:t>　　第二十四条 本指南自发布之日起生效，有效期三年。 </w:t>
      </w:r>
    </w:p>
    <w:p>
      <w:pPr>
        <w:pStyle w:val="17"/>
        <w:ind w:firstLine="640" w:firstLineChars="200"/>
        <w:jc w:val="left"/>
        <w:rPr>
          <w:rFonts w:hint="eastAsia" w:ascii="黑体" w:hAnsi="黑体" w:eastAsia="黑体"/>
          <w:kern w:val="0"/>
          <w:sz w:val="32"/>
          <w:szCs w:val="32"/>
          <w:shd w:val="pct10" w:color="auto" w:fill="FFFFFF"/>
          <w:lang w:eastAsia="zh-CN"/>
        </w:rPr>
      </w:pPr>
    </w:p>
    <w:p>
      <w:pPr>
        <w:pStyle w:val="17"/>
        <w:ind w:firstLine="720" w:firstLineChars="200"/>
        <w:jc w:val="right"/>
        <w:rPr>
          <w:rFonts w:hint="default" w:ascii="楷体" w:hAnsi="楷体" w:eastAsia="楷体" w:cs="宋体"/>
          <w:kern w:val="2"/>
          <w:sz w:val="36"/>
          <w:szCs w:val="36"/>
          <w:lang w:val="en-US" w:eastAsia="zh-CN" w:bidi="ar-SA"/>
        </w:rPr>
      </w:pPr>
    </w:p>
    <w:sectPr>
      <w:headerReference r:id="rId3" w:type="default"/>
      <w:footerReference r:id="rId4" w:type="default"/>
      <w:type w:val="continuous"/>
      <w:pgSz w:w="11850" w:h="16783"/>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方正隶二简体">
    <w:altName w:val="宋体"/>
    <w:panose1 w:val="03000509000000000000"/>
    <w:charset w:val="86"/>
    <w:family w:val="script"/>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Helvetica">
    <w:altName w:val="Arial"/>
    <w:panose1 w:val="00000000000000000000"/>
    <w:charset w:val="00"/>
    <w:family w:val="auto"/>
    <w:pitch w:val="default"/>
    <w:sig w:usb0="00000000" w:usb1="00000000" w:usb2="00000000" w:usb3="00000000" w:csb0="00000000" w:csb1="00000000"/>
  </w:font>
  <w:font w:name="微软雅黑">
    <w:panose1 w:val="020B0503020204020204"/>
    <w:charset w:val="86"/>
    <w:family w:val="auto"/>
    <w:pitch w:val="default"/>
    <w:sig w:usb0="80000287" w:usb1="280F3C52" w:usb2="00000016" w:usb3="00000000" w:csb0="0004001F" w:csb1="00000000"/>
  </w:font>
  <w:font w:name="Arial">
    <w:panose1 w:val="020B0604020202020204"/>
    <w:charset w:val="00"/>
    <w:family w:val="auto"/>
    <w:pitch w:val="default"/>
    <w:sig w:usb0="E0002AFF" w:usb1="C0007843"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36844751"/>
      <w:docPartObj>
        <w:docPartGallery w:val="autotext"/>
      </w:docPartObj>
    </w:sdtPr>
    <w:sdtContent>
      <w:p>
        <w:pPr>
          <w:pStyle w:val="8"/>
          <w:jc w:val="center"/>
        </w:pPr>
        <w:r>
          <w:fldChar w:fldCharType="begin"/>
        </w:r>
        <w:r>
          <w:instrText xml:space="preserve">PAGE   \* MERGEFORMAT</w:instrText>
        </w:r>
        <w:r>
          <w:fldChar w:fldCharType="separate"/>
        </w:r>
        <w:r>
          <w:rPr>
            <w:lang w:val="zh-CN"/>
          </w:rPr>
          <w:t>20</w:t>
        </w:r>
        <w:r>
          <w:fldChar w:fldCharType="end"/>
        </w:r>
      </w:p>
    </w:sdtContent>
  </w:sdt>
  <w:p>
    <w:pPr>
      <w:pStyle w:val="8"/>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6"/>
      <w:rPr>
        <w:rFonts w:hint="eastAsia" w:eastAsia="黑体"/>
        <w:lang w:val="en-US" w:eastAsia="zh-C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FC91163"/>
    <w:multiLevelType w:val="multilevel"/>
    <w:tmpl w:val="1FC91163"/>
    <w:lvl w:ilvl="0" w:tentative="0">
      <w:start w:val="1"/>
      <w:numFmt w:val="decimal"/>
      <w:pStyle w:val="48"/>
      <w:suff w:val="nothing"/>
      <w:lvlText w:val="%1　"/>
      <w:lvlJc w:val="left"/>
      <w:pPr>
        <w:ind w:left="0" w:firstLine="0"/>
      </w:pPr>
      <w:rPr>
        <w:rFonts w:hint="eastAsia" w:ascii="黑体" w:hAnsi="Times New Roman" w:eastAsia="黑体"/>
        <w:b w:val="0"/>
        <w:i w:val="0"/>
        <w:sz w:val="21"/>
        <w:szCs w:val="21"/>
      </w:rPr>
    </w:lvl>
    <w:lvl w:ilvl="1" w:tentative="0">
      <w:start w:val="1"/>
      <w:numFmt w:val="decimal"/>
      <w:pStyle w:val="49"/>
      <w:suff w:val="nothing"/>
      <w:lvlText w:val="%1.%2　"/>
      <w:lvlJc w:val="left"/>
      <w:pPr>
        <w:ind w:left="0" w:firstLine="0"/>
      </w:pPr>
      <w:rPr>
        <w:rFonts w:hint="eastAsia" w:ascii="黑体" w:hAnsi="Times New Roman" w:eastAsia="黑体" w:cs="Times New Roman"/>
        <w:b w:val="0"/>
        <w:bCs w:val="0"/>
        <w:i w:val="0"/>
        <w:iCs w:val="0"/>
        <w:caps w:val="0"/>
        <w:strike w:val="0"/>
        <w:dstrike w:val="0"/>
        <w:vanish w:val="0"/>
        <w:spacing w:val="0"/>
        <w:kern w:val="0"/>
        <w:position w:val="0"/>
        <w:sz w:val="21"/>
        <w:szCs w:val="21"/>
        <w:u w:val="none"/>
        <w:vertAlign w:val="baseline"/>
      </w:rPr>
    </w:lvl>
    <w:lvl w:ilvl="2" w:tentative="0">
      <w:start w:val="1"/>
      <w:numFmt w:val="decimal"/>
      <w:pStyle w:val="51"/>
      <w:suff w:val="nothing"/>
      <w:lvlText w:val="%1.%2.%3　"/>
      <w:lvlJc w:val="left"/>
      <w:pPr>
        <w:ind w:left="0" w:firstLine="0"/>
      </w:pPr>
      <w:rPr>
        <w:rFonts w:hint="eastAsia" w:ascii="黑体" w:hAnsi="Times New Roman" w:eastAsia="黑体"/>
        <w:b w:val="0"/>
        <w:i w:val="0"/>
        <w:sz w:val="21"/>
      </w:rPr>
    </w:lvl>
    <w:lvl w:ilvl="3" w:tentative="0">
      <w:start w:val="1"/>
      <w:numFmt w:val="decimal"/>
      <w:pStyle w:val="55"/>
      <w:suff w:val="nothing"/>
      <w:lvlText w:val="%1.%2.%3.%4　"/>
      <w:lvlJc w:val="left"/>
      <w:pPr>
        <w:ind w:left="0" w:firstLine="0"/>
      </w:pPr>
      <w:rPr>
        <w:rFonts w:hint="eastAsia" w:ascii="黑体" w:hAnsi="Times New Roman" w:eastAsia="黑体"/>
        <w:b w:val="0"/>
        <w:i w:val="0"/>
        <w:sz w:val="21"/>
      </w:rPr>
    </w:lvl>
    <w:lvl w:ilvl="4" w:tentative="0">
      <w:start w:val="1"/>
      <w:numFmt w:val="decimal"/>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1">
    <w:nsid w:val="2C5917C3"/>
    <w:multiLevelType w:val="multilevel"/>
    <w:tmpl w:val="2C5917C3"/>
    <w:lvl w:ilvl="0" w:tentative="0">
      <w:start w:val="1"/>
      <w:numFmt w:val="none"/>
      <w:pStyle w:val="52"/>
      <w:suff w:val="nothing"/>
      <w:lvlText w:val="%1——"/>
      <w:lvlJc w:val="left"/>
      <w:pPr>
        <w:ind w:left="833" w:hanging="408"/>
      </w:pPr>
      <w:rPr>
        <w:rFonts w:hint="eastAsia"/>
      </w:rPr>
    </w:lvl>
    <w:lvl w:ilvl="1" w:tentative="0">
      <w:start w:val="1"/>
      <w:numFmt w:val="bullet"/>
      <w:lvlText w:val=""/>
      <w:lvlJc w:val="left"/>
      <w:pPr>
        <w:tabs>
          <w:tab w:val="left" w:pos="760"/>
        </w:tabs>
        <w:ind w:left="1264" w:hanging="413"/>
      </w:pPr>
      <w:rPr>
        <w:rFonts w:hint="default" w:ascii="Symbol" w:hAnsi="Symbol"/>
        <w:color w:val="auto"/>
      </w:rPr>
    </w:lvl>
    <w:lvl w:ilvl="2" w:tentative="0">
      <w:start w:val="1"/>
      <w:numFmt w:val="bullet"/>
      <w:lvlText w:val=""/>
      <w:lvlJc w:val="left"/>
      <w:pPr>
        <w:tabs>
          <w:tab w:val="left" w:pos="1678"/>
        </w:tabs>
        <w:ind w:left="1678" w:hanging="414"/>
      </w:pPr>
      <w:rPr>
        <w:rFonts w:hint="default" w:ascii="Symbol" w:hAnsi="Symbol"/>
        <w:color w:val="auto"/>
      </w:rPr>
    </w:lvl>
    <w:lvl w:ilvl="3" w:tentative="0">
      <w:start w:val="1"/>
      <w:numFmt w:val="decimal"/>
      <w:lvlText w:val="%4."/>
      <w:lvlJc w:val="left"/>
      <w:pPr>
        <w:tabs>
          <w:tab w:val="left" w:pos="2071"/>
        </w:tabs>
        <w:ind w:left="1884" w:hanging="528"/>
      </w:pPr>
      <w:rPr>
        <w:rFonts w:hint="eastAsia"/>
      </w:rPr>
    </w:lvl>
    <w:lvl w:ilvl="4" w:tentative="0">
      <w:start w:val="1"/>
      <w:numFmt w:val="lowerLetter"/>
      <w:lvlText w:val="%5)"/>
      <w:lvlJc w:val="left"/>
      <w:pPr>
        <w:tabs>
          <w:tab w:val="left" w:pos="2383"/>
        </w:tabs>
        <w:ind w:left="2196" w:hanging="528"/>
      </w:pPr>
      <w:rPr>
        <w:rFonts w:hint="eastAsia"/>
      </w:rPr>
    </w:lvl>
    <w:lvl w:ilvl="5" w:tentative="0">
      <w:start w:val="1"/>
      <w:numFmt w:val="lowerRoman"/>
      <w:lvlText w:val="%6."/>
      <w:lvlJc w:val="right"/>
      <w:pPr>
        <w:tabs>
          <w:tab w:val="left" w:pos="2695"/>
        </w:tabs>
        <w:ind w:left="2508" w:hanging="528"/>
      </w:pPr>
      <w:rPr>
        <w:rFonts w:hint="eastAsia"/>
      </w:rPr>
    </w:lvl>
    <w:lvl w:ilvl="6" w:tentative="0">
      <w:start w:val="1"/>
      <w:numFmt w:val="decimal"/>
      <w:lvlText w:val="%7."/>
      <w:lvlJc w:val="left"/>
      <w:pPr>
        <w:tabs>
          <w:tab w:val="left" w:pos="3007"/>
        </w:tabs>
        <w:ind w:left="2820" w:hanging="528"/>
      </w:pPr>
      <w:rPr>
        <w:rFonts w:hint="eastAsia"/>
      </w:rPr>
    </w:lvl>
    <w:lvl w:ilvl="7" w:tentative="0">
      <w:start w:val="1"/>
      <w:numFmt w:val="lowerLetter"/>
      <w:lvlText w:val="%8)"/>
      <w:lvlJc w:val="left"/>
      <w:pPr>
        <w:tabs>
          <w:tab w:val="left" w:pos="3319"/>
        </w:tabs>
        <w:ind w:left="3132" w:hanging="528"/>
      </w:pPr>
      <w:rPr>
        <w:rFonts w:hint="eastAsia"/>
      </w:rPr>
    </w:lvl>
    <w:lvl w:ilvl="8" w:tentative="0">
      <w:start w:val="1"/>
      <w:numFmt w:val="lowerRoman"/>
      <w:lvlText w:val="%9."/>
      <w:lvlJc w:val="right"/>
      <w:pPr>
        <w:tabs>
          <w:tab w:val="left" w:pos="3631"/>
        </w:tabs>
        <w:ind w:left="3444" w:hanging="528"/>
      </w:pPr>
      <w:rPr>
        <w:rFonts w:hint="eastAsia"/>
      </w:rPr>
    </w:lvl>
  </w:abstractNum>
  <w:abstractNum w:abstractNumId="2">
    <w:nsid w:val="60B55DC2"/>
    <w:multiLevelType w:val="multilevel"/>
    <w:tmpl w:val="60B55DC2"/>
    <w:lvl w:ilvl="0" w:tentative="0">
      <w:start w:val="1"/>
      <w:numFmt w:val="upperLetter"/>
      <w:pStyle w:val="57"/>
      <w:lvlText w:val="%1"/>
      <w:lvlJc w:val="left"/>
      <w:pPr>
        <w:tabs>
          <w:tab w:val="left" w:pos="0"/>
        </w:tabs>
        <w:ind w:left="0" w:hanging="425"/>
      </w:pPr>
      <w:rPr>
        <w:rFonts w:hint="eastAsia"/>
      </w:rPr>
    </w:lvl>
    <w:lvl w:ilvl="1" w:tentative="0">
      <w:start w:val="1"/>
      <w:numFmt w:val="decimal"/>
      <w:suff w:val="nothing"/>
      <w:lvlText w:val="表%1.%2　"/>
      <w:lvlJc w:val="left"/>
      <w:pPr>
        <w:ind w:left="567" w:hanging="567"/>
      </w:pPr>
      <w:rPr>
        <w:rFonts w:hint="eastAsia"/>
      </w:rPr>
    </w:lvl>
    <w:lvl w:ilvl="2" w:tentative="0">
      <w:start w:val="1"/>
      <w:numFmt w:val="decimal"/>
      <w:lvlText w:val="%1.%2.%3"/>
      <w:lvlJc w:val="left"/>
      <w:pPr>
        <w:tabs>
          <w:tab w:val="left" w:pos="993"/>
        </w:tabs>
        <w:ind w:left="993" w:hanging="567"/>
      </w:pPr>
      <w:rPr>
        <w:rFonts w:hint="eastAsia"/>
      </w:rPr>
    </w:lvl>
    <w:lvl w:ilvl="3" w:tentative="0">
      <w:start w:val="1"/>
      <w:numFmt w:val="decimal"/>
      <w:lvlText w:val="%1.%2.%3.%4"/>
      <w:lvlJc w:val="left"/>
      <w:pPr>
        <w:tabs>
          <w:tab w:val="left" w:pos="2291"/>
        </w:tabs>
        <w:ind w:left="1559" w:hanging="708"/>
      </w:pPr>
      <w:rPr>
        <w:rFonts w:hint="eastAsia"/>
      </w:rPr>
    </w:lvl>
    <w:lvl w:ilvl="4" w:tentative="0">
      <w:start w:val="1"/>
      <w:numFmt w:val="decimal"/>
      <w:lvlText w:val="%1.%2.%3.%4.%5"/>
      <w:lvlJc w:val="left"/>
      <w:pPr>
        <w:tabs>
          <w:tab w:val="left" w:pos="3076"/>
        </w:tabs>
        <w:ind w:left="2126" w:hanging="850"/>
      </w:pPr>
      <w:rPr>
        <w:rFonts w:hint="eastAsia"/>
      </w:rPr>
    </w:lvl>
    <w:lvl w:ilvl="5" w:tentative="0">
      <w:start w:val="1"/>
      <w:numFmt w:val="decimal"/>
      <w:lvlText w:val="%1.%2.%3.%4.%5.%6"/>
      <w:lvlJc w:val="left"/>
      <w:pPr>
        <w:tabs>
          <w:tab w:val="left" w:pos="3861"/>
        </w:tabs>
        <w:ind w:left="2835" w:hanging="1134"/>
      </w:pPr>
      <w:rPr>
        <w:rFonts w:hint="eastAsia"/>
      </w:rPr>
    </w:lvl>
    <w:lvl w:ilvl="6" w:tentative="0">
      <w:start w:val="1"/>
      <w:numFmt w:val="decimal"/>
      <w:lvlText w:val="%1.%2.%3.%4.%5.%6.%7"/>
      <w:lvlJc w:val="left"/>
      <w:pPr>
        <w:tabs>
          <w:tab w:val="left" w:pos="4646"/>
        </w:tabs>
        <w:ind w:left="3402" w:hanging="1276"/>
      </w:pPr>
      <w:rPr>
        <w:rFonts w:hint="eastAsia"/>
      </w:rPr>
    </w:lvl>
    <w:lvl w:ilvl="7" w:tentative="0">
      <w:start w:val="1"/>
      <w:numFmt w:val="decimal"/>
      <w:lvlText w:val="%1.%2.%3.%4.%5.%6.%7.%8"/>
      <w:lvlJc w:val="left"/>
      <w:pPr>
        <w:tabs>
          <w:tab w:val="left" w:pos="5431"/>
        </w:tabs>
        <w:ind w:left="3969" w:hanging="1418"/>
      </w:pPr>
      <w:rPr>
        <w:rFonts w:hint="eastAsia"/>
      </w:rPr>
    </w:lvl>
    <w:lvl w:ilvl="8" w:tentative="0">
      <w:start w:val="1"/>
      <w:numFmt w:val="decimal"/>
      <w:lvlText w:val="%1.%2.%3.%4.%5.%6.%7.%8.%9"/>
      <w:lvlJc w:val="left"/>
      <w:pPr>
        <w:tabs>
          <w:tab w:val="left" w:pos="6217"/>
        </w:tabs>
        <w:ind w:left="4677" w:hanging="1700"/>
      </w:pPr>
      <w:rPr>
        <w:rFonts w:hint="eastAsia"/>
      </w:rPr>
    </w:lvl>
  </w:abstractNum>
  <w:abstractNum w:abstractNumId="3">
    <w:nsid w:val="646260FA"/>
    <w:multiLevelType w:val="multilevel"/>
    <w:tmpl w:val="646260FA"/>
    <w:lvl w:ilvl="0" w:tentative="0">
      <w:start w:val="1"/>
      <w:numFmt w:val="decimal"/>
      <w:pStyle w:val="53"/>
      <w:suff w:val="nothing"/>
      <w:lvlText w:val="表%1　"/>
      <w:lvlJc w:val="left"/>
      <w:pPr>
        <w:ind w:left="0" w:firstLine="0"/>
      </w:pPr>
      <w:rPr>
        <w:rFonts w:hint="eastAsia" w:ascii="黑体" w:hAnsi="Times New Roman" w:eastAsia="黑体"/>
        <w:b w:val="0"/>
        <w:i w:val="0"/>
        <w:sz w:val="21"/>
      </w:rPr>
    </w:lvl>
    <w:lvl w:ilvl="1" w:tentative="0">
      <w:start w:val="1"/>
      <w:numFmt w:val="decimal"/>
      <w:lvlText w:val="%1.%2"/>
      <w:lvlJc w:val="left"/>
      <w:pPr>
        <w:tabs>
          <w:tab w:val="left" w:pos="992"/>
        </w:tabs>
        <w:ind w:left="992" w:hanging="567"/>
      </w:pPr>
      <w:rPr>
        <w:rFonts w:hint="eastAsia"/>
      </w:rPr>
    </w:lvl>
    <w:lvl w:ilvl="2" w:tentative="0">
      <w:start w:val="1"/>
      <w:numFmt w:val="decimal"/>
      <w:lvlText w:val="%1.%2.%3"/>
      <w:lvlJc w:val="left"/>
      <w:pPr>
        <w:tabs>
          <w:tab w:val="left" w:pos="1418"/>
        </w:tabs>
        <w:ind w:left="1418" w:hanging="567"/>
      </w:pPr>
      <w:rPr>
        <w:rFonts w:hint="eastAsia"/>
      </w:rPr>
    </w:lvl>
    <w:lvl w:ilvl="3" w:tentative="0">
      <w:start w:val="1"/>
      <w:numFmt w:val="decimal"/>
      <w:lvlText w:val="%1.%2.%3.%4"/>
      <w:lvlJc w:val="left"/>
      <w:pPr>
        <w:tabs>
          <w:tab w:val="left" w:pos="1984"/>
        </w:tabs>
        <w:ind w:left="1984" w:hanging="708"/>
      </w:pPr>
      <w:rPr>
        <w:rFonts w:hint="eastAsia"/>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3827"/>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4">
    <w:nsid w:val="657D3FBC"/>
    <w:multiLevelType w:val="multilevel"/>
    <w:tmpl w:val="657D3FBC"/>
    <w:lvl w:ilvl="0" w:tentative="0">
      <w:start w:val="1"/>
      <w:numFmt w:val="upperLetter"/>
      <w:pStyle w:val="56"/>
      <w:suff w:val="nothing"/>
      <w:lvlText w:val="附　录　%1"/>
      <w:lvlJc w:val="left"/>
      <w:pPr>
        <w:ind w:left="0" w:firstLine="0"/>
      </w:pPr>
      <w:rPr>
        <w:rFonts w:hint="eastAsia" w:ascii="黑体" w:hAnsi="Times New Roman" w:eastAsia="黑体"/>
        <w:b w:val="0"/>
        <w:i w:val="0"/>
        <w:spacing w:val="0"/>
        <w:w w:val="100"/>
        <w:sz w:val="21"/>
      </w:rPr>
    </w:lvl>
    <w:lvl w:ilvl="1" w:tentative="0">
      <w:start w:val="1"/>
      <w:numFmt w:val="decimal"/>
      <w:suff w:val="nothing"/>
      <w:lvlText w:val="%1.%2　"/>
      <w:lvlJc w:val="left"/>
      <w:pPr>
        <w:ind w:left="0" w:firstLine="0"/>
      </w:pPr>
      <w:rPr>
        <w:rFonts w:hint="eastAsia" w:ascii="黑体" w:hAnsi="Times New Roman" w:eastAsia="黑体"/>
        <w:b w:val="0"/>
        <w:i w:val="0"/>
        <w:snapToGrid/>
        <w:spacing w:val="0"/>
        <w:w w:val="100"/>
        <w:kern w:val="21"/>
        <w:sz w:val="21"/>
      </w:rPr>
    </w:lvl>
    <w:lvl w:ilvl="2" w:tentative="0">
      <w:start w:val="1"/>
      <w:numFmt w:val="decimal"/>
      <w:suff w:val="nothing"/>
      <w:lvlText w:val="%1.%2.%3　"/>
      <w:lvlJc w:val="left"/>
      <w:pPr>
        <w:ind w:left="0" w:firstLine="0"/>
      </w:pPr>
      <w:rPr>
        <w:rFonts w:hint="eastAsia" w:ascii="黑体" w:hAnsi="Times New Roman" w:eastAsia="黑体"/>
        <w:b w:val="0"/>
        <w:i w:val="0"/>
        <w:sz w:val="21"/>
      </w:rPr>
    </w:lvl>
    <w:lvl w:ilvl="3" w:tentative="0">
      <w:start w:val="1"/>
      <w:numFmt w:val="decimal"/>
      <w:suff w:val="nothing"/>
      <w:lvlText w:val="%1.%2.%3.%4　"/>
      <w:lvlJc w:val="left"/>
      <w:pPr>
        <w:ind w:left="0" w:firstLine="0"/>
      </w:pPr>
      <w:rPr>
        <w:rFonts w:hint="eastAsia" w:ascii="黑体" w:hAnsi="Times New Roman" w:eastAsia="黑体"/>
        <w:b w:val="0"/>
        <w:i w:val="0"/>
        <w:sz w:val="21"/>
      </w:rPr>
    </w:lvl>
    <w:lvl w:ilvl="4" w:tentative="0">
      <w:start w:val="1"/>
      <w:numFmt w:val="decimal"/>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num w:numId="1">
    <w:abstractNumId w:val="0"/>
  </w:num>
  <w:num w:numId="2">
    <w:abstractNumId w:val="1"/>
  </w:num>
  <w:num w:numId="3">
    <w:abstractNumId w:val="3"/>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3042"/>
    <w:rsid w:val="00064AAD"/>
    <w:rsid w:val="00095445"/>
    <w:rsid w:val="001102D1"/>
    <w:rsid w:val="00180704"/>
    <w:rsid w:val="001D49CA"/>
    <w:rsid w:val="00372721"/>
    <w:rsid w:val="003F4091"/>
    <w:rsid w:val="00423A15"/>
    <w:rsid w:val="004273BD"/>
    <w:rsid w:val="004943DB"/>
    <w:rsid w:val="004D12E6"/>
    <w:rsid w:val="004E37DF"/>
    <w:rsid w:val="00594C34"/>
    <w:rsid w:val="00597C82"/>
    <w:rsid w:val="005C0C07"/>
    <w:rsid w:val="006303C7"/>
    <w:rsid w:val="0063463E"/>
    <w:rsid w:val="00642D05"/>
    <w:rsid w:val="0065347D"/>
    <w:rsid w:val="006B5B28"/>
    <w:rsid w:val="007A27E6"/>
    <w:rsid w:val="007C0C85"/>
    <w:rsid w:val="007F3EA1"/>
    <w:rsid w:val="008319E5"/>
    <w:rsid w:val="00845A98"/>
    <w:rsid w:val="00960C0F"/>
    <w:rsid w:val="00993042"/>
    <w:rsid w:val="009C5AD9"/>
    <w:rsid w:val="00B91777"/>
    <w:rsid w:val="00BD533B"/>
    <w:rsid w:val="00C0441E"/>
    <w:rsid w:val="00C531E9"/>
    <w:rsid w:val="00D34CB3"/>
    <w:rsid w:val="00F64E6B"/>
    <w:rsid w:val="00FA3FC7"/>
    <w:rsid w:val="00FB14B9"/>
    <w:rsid w:val="00FE5ABC"/>
    <w:rsid w:val="00FF61A5"/>
    <w:rsid w:val="0544256C"/>
    <w:rsid w:val="09D43E7F"/>
    <w:rsid w:val="0B37604B"/>
    <w:rsid w:val="0C7D4881"/>
    <w:rsid w:val="0F831078"/>
    <w:rsid w:val="0FF978BB"/>
    <w:rsid w:val="10945727"/>
    <w:rsid w:val="10BC7088"/>
    <w:rsid w:val="10C15D0D"/>
    <w:rsid w:val="10C57950"/>
    <w:rsid w:val="11D42BC6"/>
    <w:rsid w:val="122A52A4"/>
    <w:rsid w:val="141D2C5A"/>
    <w:rsid w:val="14292797"/>
    <w:rsid w:val="1484220E"/>
    <w:rsid w:val="17606CE1"/>
    <w:rsid w:val="17D13C22"/>
    <w:rsid w:val="17D81288"/>
    <w:rsid w:val="184070B5"/>
    <w:rsid w:val="196D55F7"/>
    <w:rsid w:val="1BA22F06"/>
    <w:rsid w:val="1BB31BDB"/>
    <w:rsid w:val="1C04048A"/>
    <w:rsid w:val="1C41265B"/>
    <w:rsid w:val="1E1337E2"/>
    <w:rsid w:val="1ECB7F41"/>
    <w:rsid w:val="1F256E58"/>
    <w:rsid w:val="1F9A5296"/>
    <w:rsid w:val="2531320F"/>
    <w:rsid w:val="267C16BB"/>
    <w:rsid w:val="26DD7A45"/>
    <w:rsid w:val="2A4B49F0"/>
    <w:rsid w:val="2C1C7A0A"/>
    <w:rsid w:val="2CF243D9"/>
    <w:rsid w:val="2DED215A"/>
    <w:rsid w:val="2FB11A0F"/>
    <w:rsid w:val="30223700"/>
    <w:rsid w:val="319F1B33"/>
    <w:rsid w:val="31A62983"/>
    <w:rsid w:val="31AF1F88"/>
    <w:rsid w:val="366620FD"/>
    <w:rsid w:val="381D776C"/>
    <w:rsid w:val="39AF7068"/>
    <w:rsid w:val="3A7E1C7C"/>
    <w:rsid w:val="3C116B55"/>
    <w:rsid w:val="40BB5732"/>
    <w:rsid w:val="43173CA9"/>
    <w:rsid w:val="435F74C7"/>
    <w:rsid w:val="458A56A0"/>
    <w:rsid w:val="46B14ABF"/>
    <w:rsid w:val="471C40A0"/>
    <w:rsid w:val="4884066B"/>
    <w:rsid w:val="49D75B88"/>
    <w:rsid w:val="4A1332B3"/>
    <w:rsid w:val="4D055AD2"/>
    <w:rsid w:val="4D3B3483"/>
    <w:rsid w:val="4DE54C22"/>
    <w:rsid w:val="4EF077B8"/>
    <w:rsid w:val="4F985C2B"/>
    <w:rsid w:val="51233380"/>
    <w:rsid w:val="52DF10CE"/>
    <w:rsid w:val="543E71B2"/>
    <w:rsid w:val="561D742F"/>
    <w:rsid w:val="59FF6EE7"/>
    <w:rsid w:val="5F856928"/>
    <w:rsid w:val="5F9A30BC"/>
    <w:rsid w:val="5F9D529B"/>
    <w:rsid w:val="5FA9252B"/>
    <w:rsid w:val="5FE50139"/>
    <w:rsid w:val="60587BD7"/>
    <w:rsid w:val="625652A8"/>
    <w:rsid w:val="628B7C04"/>
    <w:rsid w:val="635A12A5"/>
    <w:rsid w:val="66BC71DC"/>
    <w:rsid w:val="66DB511F"/>
    <w:rsid w:val="676657EF"/>
    <w:rsid w:val="680F54CF"/>
    <w:rsid w:val="68724934"/>
    <w:rsid w:val="68984068"/>
    <w:rsid w:val="698623E2"/>
    <w:rsid w:val="69A52D85"/>
    <w:rsid w:val="6B6D3CEB"/>
    <w:rsid w:val="6B7A66C1"/>
    <w:rsid w:val="6C454E67"/>
    <w:rsid w:val="70005AFD"/>
    <w:rsid w:val="75F856C4"/>
    <w:rsid w:val="75F91ACE"/>
    <w:rsid w:val="78C6091B"/>
    <w:rsid w:val="7A1E2384"/>
    <w:rsid w:val="7A4F4EEA"/>
    <w:rsid w:val="7B0D71E4"/>
    <w:rsid w:val="7B395C62"/>
    <w:rsid w:val="7BC819E0"/>
    <w:rsid w:val="7CEC5D54"/>
    <w:rsid w:val="7FFC66B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uiPriority="39" w:name="toc 2"/>
    <w:lsdException w:qFormat="1" w:unhideWhenUsed="0"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iPriority="99"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qFormat="1"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qFormat/>
    <w:uiPriority w:val="9"/>
    <w:pPr>
      <w:pBdr>
        <w:top w:val="none" w:color="auto" w:sz="0" w:space="0"/>
        <w:left w:val="none" w:color="auto" w:sz="0" w:space="0"/>
        <w:bottom w:val="none" w:color="auto" w:sz="0" w:space="0"/>
        <w:right w:val="none" w:color="auto" w:sz="0" w:space="0"/>
      </w:pBdr>
      <w:spacing w:before="0" w:beforeAutospacing="0" w:after="0" w:afterAutospacing="0"/>
      <w:ind w:left="0" w:right="0"/>
      <w:jc w:val="left"/>
    </w:pPr>
    <w:rPr>
      <w:rFonts w:hint="eastAsia" w:ascii="宋体" w:hAnsi="宋体" w:eastAsia="宋体" w:cs="宋体"/>
      <w:b/>
      <w:kern w:val="44"/>
      <w:sz w:val="24"/>
      <w:szCs w:val="24"/>
      <w:lang w:val="en-US" w:eastAsia="zh-CN" w:bidi="ar-SA"/>
    </w:rPr>
  </w:style>
  <w:style w:type="paragraph" w:styleId="3">
    <w:name w:val="heading 2"/>
    <w:basedOn w:val="1"/>
    <w:next w:val="1"/>
    <w:semiHidden/>
    <w:unhideWhenUsed/>
    <w:qFormat/>
    <w:uiPriority w:val="9"/>
    <w:pPr>
      <w:spacing w:before="0" w:beforeAutospacing="1" w:after="0" w:afterAutospacing="1"/>
      <w:jc w:val="left"/>
    </w:pPr>
    <w:rPr>
      <w:rFonts w:hint="eastAsia" w:ascii="宋体" w:hAnsi="宋体" w:eastAsia="宋体" w:cs="宋体"/>
      <w:b/>
      <w:kern w:val="0"/>
      <w:sz w:val="36"/>
      <w:szCs w:val="36"/>
      <w:lang w:val="en-US" w:eastAsia="zh-CN" w:bidi="ar"/>
    </w:rPr>
  </w:style>
  <w:style w:type="paragraph" w:styleId="4">
    <w:name w:val="heading 3"/>
    <w:basedOn w:val="1"/>
    <w:next w:val="1"/>
    <w:unhideWhenUsed/>
    <w:qFormat/>
    <w:uiPriority w:val="9"/>
    <w:pPr>
      <w:pBdr>
        <w:top w:val="none" w:color="auto" w:sz="0" w:space="0"/>
        <w:left w:val="none" w:color="auto" w:sz="0" w:space="0"/>
        <w:bottom w:val="none" w:color="auto" w:sz="0" w:space="0"/>
        <w:right w:val="none" w:color="auto" w:sz="0" w:space="0"/>
      </w:pBdr>
      <w:spacing w:before="0" w:beforeAutospacing="0" w:after="0" w:afterAutospacing="0"/>
      <w:ind w:left="0" w:right="0"/>
      <w:jc w:val="left"/>
    </w:pPr>
    <w:rPr>
      <w:rFonts w:hint="eastAsia" w:ascii="宋体" w:hAnsi="宋体" w:eastAsia="宋体" w:cs="宋体"/>
      <w:b/>
      <w:kern w:val="0"/>
      <w:sz w:val="24"/>
      <w:szCs w:val="24"/>
      <w:lang w:val="en-US" w:eastAsia="zh-CN" w:bidi="ar-SA"/>
    </w:rPr>
  </w:style>
  <w:style w:type="character" w:default="1" w:styleId="13">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5">
    <w:name w:val="Document Map"/>
    <w:basedOn w:val="1"/>
    <w:link w:val="23"/>
    <w:semiHidden/>
    <w:unhideWhenUsed/>
    <w:qFormat/>
    <w:uiPriority w:val="99"/>
    <w:rPr>
      <w:rFonts w:ascii="宋体" w:eastAsia="宋体"/>
      <w:sz w:val="18"/>
      <w:szCs w:val="18"/>
    </w:rPr>
  </w:style>
  <w:style w:type="paragraph" w:styleId="6">
    <w:name w:val="toc 3"/>
    <w:basedOn w:val="1"/>
    <w:next w:val="1"/>
    <w:qFormat/>
    <w:uiPriority w:val="39"/>
    <w:pPr>
      <w:tabs>
        <w:tab w:val="right" w:leader="dot" w:pos="9241"/>
      </w:tabs>
      <w:ind w:firstLine="102" w:firstLineChars="100"/>
      <w:jc w:val="left"/>
    </w:pPr>
    <w:rPr>
      <w:rFonts w:ascii="宋体"/>
      <w:szCs w:val="21"/>
    </w:rPr>
  </w:style>
  <w:style w:type="paragraph" w:styleId="7">
    <w:name w:val="Balloon Text"/>
    <w:basedOn w:val="1"/>
    <w:link w:val="22"/>
    <w:semiHidden/>
    <w:unhideWhenUsed/>
    <w:qFormat/>
    <w:uiPriority w:val="99"/>
    <w:rPr>
      <w:sz w:val="18"/>
      <w:szCs w:val="18"/>
    </w:rPr>
  </w:style>
  <w:style w:type="paragraph" w:styleId="8">
    <w:name w:val="footer"/>
    <w:basedOn w:val="1"/>
    <w:link w:val="20"/>
    <w:unhideWhenUsed/>
    <w:qFormat/>
    <w:uiPriority w:val="99"/>
    <w:pPr>
      <w:tabs>
        <w:tab w:val="center" w:pos="4153"/>
        <w:tab w:val="right" w:pos="8306"/>
      </w:tabs>
      <w:snapToGrid w:val="0"/>
      <w:jc w:val="left"/>
    </w:pPr>
    <w:rPr>
      <w:sz w:val="18"/>
      <w:szCs w:val="18"/>
    </w:rPr>
  </w:style>
  <w:style w:type="paragraph" w:styleId="9">
    <w:name w:val="header"/>
    <w:basedOn w:val="1"/>
    <w:link w:val="19"/>
    <w:unhideWhenUsed/>
    <w:qFormat/>
    <w:uiPriority w:val="99"/>
    <w:pPr>
      <w:pBdr>
        <w:bottom w:val="single" w:color="auto" w:sz="6" w:space="1"/>
      </w:pBdr>
      <w:tabs>
        <w:tab w:val="center" w:pos="4153"/>
        <w:tab w:val="right" w:pos="8306"/>
      </w:tabs>
      <w:snapToGrid w:val="0"/>
      <w:jc w:val="center"/>
    </w:pPr>
    <w:rPr>
      <w:sz w:val="18"/>
      <w:szCs w:val="18"/>
    </w:rPr>
  </w:style>
  <w:style w:type="paragraph" w:styleId="10">
    <w:name w:val="toc 1"/>
    <w:basedOn w:val="1"/>
    <w:next w:val="1"/>
    <w:qFormat/>
    <w:uiPriority w:val="39"/>
    <w:pPr>
      <w:tabs>
        <w:tab w:val="right" w:leader="dot" w:pos="9241"/>
      </w:tabs>
      <w:spacing w:before="25" w:beforeLines="25" w:after="25" w:afterLines="25"/>
      <w:jc w:val="left"/>
    </w:pPr>
    <w:rPr>
      <w:rFonts w:ascii="宋体"/>
      <w:szCs w:val="21"/>
    </w:rPr>
  </w:style>
  <w:style w:type="paragraph" w:styleId="11">
    <w:name w:val="Normal (Web)"/>
    <w:basedOn w:val="1"/>
    <w:unhideWhenUsed/>
    <w:qFormat/>
    <w:uiPriority w:val="99"/>
    <w:pPr>
      <w:pBdr>
        <w:top w:val="none" w:color="auto" w:sz="0" w:space="0"/>
        <w:left w:val="none" w:color="auto" w:sz="0" w:space="0"/>
        <w:bottom w:val="none" w:color="auto" w:sz="0" w:space="0"/>
        <w:right w:val="none" w:color="auto" w:sz="0" w:space="0"/>
      </w:pBdr>
      <w:spacing w:before="0" w:beforeAutospacing="0" w:after="0" w:afterAutospacing="0"/>
      <w:ind w:left="0" w:right="0"/>
      <w:jc w:val="left"/>
    </w:pPr>
    <w:rPr>
      <w:kern w:val="0"/>
      <w:sz w:val="24"/>
      <w:lang w:val="en-US" w:eastAsia="zh-CN" w:bidi="ar-SA"/>
    </w:rPr>
  </w:style>
  <w:style w:type="character" w:styleId="14">
    <w:name w:val="Strong"/>
    <w:basedOn w:val="13"/>
    <w:qFormat/>
    <w:uiPriority w:val="22"/>
    <w:rPr>
      <w:b/>
      <w:bCs/>
    </w:rPr>
  </w:style>
  <w:style w:type="character" w:styleId="15">
    <w:name w:val="page number"/>
    <w:basedOn w:val="13"/>
    <w:unhideWhenUsed/>
    <w:qFormat/>
    <w:uiPriority w:val="99"/>
    <w:rPr>
      <w:rFonts w:hint="default" w:ascii="Times New Roman"/>
      <w:sz w:val="24"/>
    </w:rPr>
  </w:style>
  <w:style w:type="character" w:styleId="16">
    <w:name w:val="Hyperlink"/>
    <w:qFormat/>
    <w:uiPriority w:val="99"/>
    <w:rPr>
      <w:color w:val="0000FF"/>
      <w:spacing w:val="0"/>
      <w:w w:val="100"/>
      <w:szCs w:val="21"/>
      <w:u w:val="single"/>
    </w:rPr>
  </w:style>
  <w:style w:type="paragraph" w:styleId="17">
    <w:name w:val="No Spacing"/>
    <w:qFormat/>
    <w:uiPriority w:val="1"/>
    <w:pPr>
      <w:widowControl w:val="0"/>
      <w:jc w:val="both"/>
    </w:pPr>
    <w:rPr>
      <w:rFonts w:asciiTheme="minorHAnsi" w:hAnsiTheme="minorHAnsi" w:eastAsiaTheme="minorEastAsia" w:cstheme="minorBidi"/>
      <w:kern w:val="2"/>
      <w:sz w:val="21"/>
      <w:szCs w:val="22"/>
      <w:lang w:val="en-US" w:eastAsia="zh-CN" w:bidi="ar-SA"/>
    </w:rPr>
  </w:style>
  <w:style w:type="character" w:customStyle="1" w:styleId="18">
    <w:name w:val="apple-converted-space"/>
    <w:basedOn w:val="13"/>
    <w:qFormat/>
    <w:uiPriority w:val="0"/>
  </w:style>
  <w:style w:type="character" w:customStyle="1" w:styleId="19">
    <w:name w:val="页眉 Char"/>
    <w:basedOn w:val="13"/>
    <w:link w:val="9"/>
    <w:qFormat/>
    <w:uiPriority w:val="99"/>
    <w:rPr>
      <w:sz w:val="18"/>
      <w:szCs w:val="18"/>
    </w:rPr>
  </w:style>
  <w:style w:type="character" w:customStyle="1" w:styleId="20">
    <w:name w:val="页脚 Char"/>
    <w:basedOn w:val="13"/>
    <w:link w:val="8"/>
    <w:qFormat/>
    <w:uiPriority w:val="99"/>
    <w:rPr>
      <w:sz w:val="18"/>
      <w:szCs w:val="18"/>
    </w:rPr>
  </w:style>
  <w:style w:type="paragraph" w:styleId="21">
    <w:name w:val="List Paragraph"/>
    <w:basedOn w:val="1"/>
    <w:qFormat/>
    <w:uiPriority w:val="99"/>
    <w:pPr>
      <w:ind w:firstLine="420" w:firstLineChars="200"/>
    </w:pPr>
    <w:rPr>
      <w:rFonts w:ascii="Calibri" w:hAnsi="Calibri" w:eastAsia="宋体" w:cs="Calibri"/>
      <w:szCs w:val="21"/>
    </w:rPr>
  </w:style>
  <w:style w:type="character" w:customStyle="1" w:styleId="22">
    <w:name w:val="批注框文本 Char"/>
    <w:basedOn w:val="13"/>
    <w:link w:val="7"/>
    <w:semiHidden/>
    <w:qFormat/>
    <w:uiPriority w:val="99"/>
    <w:rPr>
      <w:sz w:val="18"/>
      <w:szCs w:val="18"/>
    </w:rPr>
  </w:style>
  <w:style w:type="character" w:customStyle="1" w:styleId="23">
    <w:name w:val="文档结构图 Char"/>
    <w:basedOn w:val="13"/>
    <w:link w:val="5"/>
    <w:semiHidden/>
    <w:qFormat/>
    <w:uiPriority w:val="99"/>
    <w:rPr>
      <w:rFonts w:ascii="宋体" w:eastAsia="宋体"/>
      <w:sz w:val="18"/>
      <w:szCs w:val="18"/>
    </w:rPr>
  </w:style>
  <w:style w:type="character" w:customStyle="1" w:styleId="24">
    <w:name w:val="headline-content5"/>
    <w:basedOn w:val="13"/>
    <w:qFormat/>
    <w:uiPriority w:val="0"/>
    <w:rPr>
      <w:sz w:val="28"/>
      <w:szCs w:val="28"/>
    </w:rPr>
  </w:style>
  <w:style w:type="paragraph" w:customStyle="1" w:styleId="25">
    <w:name w:val="文献分类号"/>
    <w:qFormat/>
    <w:uiPriority w:val="99"/>
    <w:pPr>
      <w:framePr w:hSpace="180" w:vSpace="180" w:wrap="around" w:vAnchor="margin" w:hAnchor="margin" w:y="1" w:anchorLock="1"/>
      <w:widowControl w:val="0"/>
      <w:textAlignment w:val="center"/>
    </w:pPr>
    <w:rPr>
      <w:rFonts w:ascii="黑体" w:hAnsi="Times New Roman" w:eastAsia="黑体" w:cs="Times New Roman"/>
      <w:sz w:val="21"/>
      <w:szCs w:val="21"/>
      <w:lang w:val="en-US" w:eastAsia="zh-CN" w:bidi="ar-SA"/>
    </w:rPr>
  </w:style>
  <w:style w:type="paragraph" w:customStyle="1" w:styleId="26">
    <w:name w:val="其他标准标志"/>
    <w:basedOn w:val="27"/>
    <w:qFormat/>
    <w:uiPriority w:val="99"/>
    <w:pPr>
      <w:framePr w:w="6101" w:vAnchor="page" w:hAnchor="page" w:x="4673" w:y="942"/>
    </w:pPr>
    <w:rPr>
      <w:w w:val="130"/>
    </w:rPr>
  </w:style>
  <w:style w:type="paragraph" w:customStyle="1" w:styleId="27">
    <w:name w:val="标准标志"/>
    <w:next w:val="1"/>
    <w:uiPriority w:val="99"/>
    <w:pPr>
      <w:framePr w:w="2546" w:h="1389" w:hRule="exact" w:hSpace="181" w:vSpace="181" w:wrap="around" w:vAnchor="margin" w:hAnchor="margin" w:x="6522" w:y="398" w:anchorLock="1"/>
      <w:shd w:val="solid" w:color="FFFFFF" w:fill="FFFFFF"/>
      <w:spacing w:line="0" w:lineRule="atLeast"/>
      <w:jc w:val="right"/>
    </w:pPr>
    <w:rPr>
      <w:rFonts w:ascii="Times New Roman" w:hAnsi="Times New Roman" w:eastAsia="宋体" w:cs="Times New Roman"/>
      <w:b/>
      <w:w w:val="170"/>
      <w:sz w:val="96"/>
      <w:szCs w:val="96"/>
      <w:lang w:val="en-US" w:eastAsia="zh-CN" w:bidi="ar-SA"/>
    </w:rPr>
  </w:style>
  <w:style w:type="paragraph" w:customStyle="1" w:styleId="28">
    <w:name w:val="其他标准称谓"/>
    <w:next w:val="1"/>
    <w:qFormat/>
    <w:uiPriority w:val="99"/>
    <w:pPr>
      <w:framePr w:hSpace="181" w:vSpace="181" w:wrap="around" w:vAnchor="page" w:hAnchor="page" w:x="1419" w:y="2286" w:anchorLock="1"/>
      <w:spacing w:line="0" w:lineRule="atLeast"/>
      <w:jc w:val="distribute"/>
    </w:pPr>
    <w:rPr>
      <w:rFonts w:ascii="黑体" w:hAnsi="宋体" w:eastAsia="黑体" w:cs="Times New Roman"/>
      <w:spacing w:val="-40"/>
      <w:sz w:val="48"/>
      <w:szCs w:val="52"/>
      <w:lang w:val="en-US" w:eastAsia="zh-CN" w:bidi="ar-SA"/>
    </w:rPr>
  </w:style>
  <w:style w:type="paragraph" w:customStyle="1" w:styleId="29">
    <w:name w:val="封面标准号2"/>
    <w:qFormat/>
    <w:uiPriority w:val="99"/>
    <w:pPr>
      <w:framePr w:w="9140" w:h="1242" w:hRule="exact" w:hSpace="284" w:wrap="around" w:vAnchor="page" w:hAnchor="page" w:x="1645" w:y="2910" w:anchorLock="1"/>
      <w:spacing w:before="357" w:line="280" w:lineRule="exact"/>
      <w:jc w:val="right"/>
    </w:pPr>
    <w:rPr>
      <w:rFonts w:ascii="黑体" w:hAnsi="Times New Roman" w:eastAsia="黑体" w:cs="Times New Roman"/>
      <w:sz w:val="28"/>
      <w:szCs w:val="28"/>
      <w:lang w:val="en-US" w:eastAsia="zh-CN" w:bidi="ar-SA"/>
    </w:rPr>
  </w:style>
  <w:style w:type="paragraph" w:customStyle="1" w:styleId="30">
    <w:name w:val="封面标准代替信息"/>
    <w:qFormat/>
    <w:uiPriority w:val="99"/>
    <w:pPr>
      <w:framePr w:w="9140" w:h="1242" w:hRule="exact" w:hSpace="284" w:wrap="around" w:vAnchor="page" w:hAnchor="page" w:x="1645" w:y="2910" w:anchorLock="1"/>
      <w:spacing w:before="57" w:line="280" w:lineRule="exact"/>
      <w:jc w:val="right"/>
    </w:pPr>
    <w:rPr>
      <w:rFonts w:ascii="宋体" w:hAnsi="Times New Roman" w:eastAsia="宋体" w:cs="Times New Roman"/>
      <w:sz w:val="21"/>
      <w:szCs w:val="21"/>
      <w:lang w:val="en-US" w:eastAsia="zh-CN" w:bidi="ar-SA"/>
    </w:rPr>
  </w:style>
  <w:style w:type="paragraph" w:customStyle="1" w:styleId="31">
    <w:name w:val="封面标准名称"/>
    <w:qFormat/>
    <w:uiPriority w:val="99"/>
    <w:pPr>
      <w:framePr w:w="9639" w:h="6917" w:hRule="exact" w:wrap="around" w:vAnchor="page" w:hAnchor="page" w:xAlign="center" w:y="6408" w:anchorLock="1"/>
      <w:widowControl w:val="0"/>
      <w:spacing w:line="680" w:lineRule="exact"/>
      <w:jc w:val="center"/>
      <w:textAlignment w:val="center"/>
    </w:pPr>
    <w:rPr>
      <w:rFonts w:ascii="黑体" w:hAnsi="Times New Roman" w:eastAsia="黑体" w:cs="Times New Roman"/>
      <w:sz w:val="52"/>
      <w:lang w:val="en-US" w:eastAsia="zh-CN" w:bidi="ar-SA"/>
    </w:rPr>
  </w:style>
  <w:style w:type="paragraph" w:customStyle="1" w:styleId="32">
    <w:name w:val="封面标准英文名称"/>
    <w:basedOn w:val="31"/>
    <w:qFormat/>
    <w:uiPriority w:val="99"/>
    <w:pPr>
      <w:spacing w:before="370" w:line="400" w:lineRule="exact"/>
    </w:pPr>
    <w:rPr>
      <w:rFonts w:ascii="Times New Roman"/>
      <w:sz w:val="28"/>
      <w:szCs w:val="28"/>
    </w:rPr>
  </w:style>
  <w:style w:type="paragraph" w:customStyle="1" w:styleId="33">
    <w:name w:val="封面一致性程度标识"/>
    <w:basedOn w:val="32"/>
    <w:qFormat/>
    <w:uiPriority w:val="99"/>
    <w:pPr>
      <w:spacing w:before="440"/>
    </w:pPr>
    <w:rPr>
      <w:rFonts w:ascii="宋体" w:eastAsia="宋体"/>
    </w:rPr>
  </w:style>
  <w:style w:type="paragraph" w:customStyle="1" w:styleId="34">
    <w:name w:val="封面标准文稿类别"/>
    <w:basedOn w:val="33"/>
    <w:qFormat/>
    <w:uiPriority w:val="99"/>
    <w:pPr>
      <w:spacing w:after="160" w:line="240" w:lineRule="auto"/>
    </w:pPr>
    <w:rPr>
      <w:sz w:val="24"/>
    </w:rPr>
  </w:style>
  <w:style w:type="paragraph" w:customStyle="1" w:styleId="35">
    <w:name w:val="封面标准文稿编辑信息"/>
    <w:basedOn w:val="34"/>
    <w:qFormat/>
    <w:uiPriority w:val="99"/>
    <w:pPr>
      <w:spacing w:before="180" w:line="180" w:lineRule="exact"/>
    </w:pPr>
    <w:rPr>
      <w:sz w:val="21"/>
    </w:rPr>
  </w:style>
  <w:style w:type="paragraph" w:customStyle="1" w:styleId="36">
    <w:name w:val="其他发布日期"/>
    <w:basedOn w:val="37"/>
    <w:qFormat/>
    <w:uiPriority w:val="99"/>
    <w:pPr>
      <w:framePr w:vAnchor="page" w:hAnchor="page" w:x="1419"/>
    </w:pPr>
  </w:style>
  <w:style w:type="paragraph" w:customStyle="1" w:styleId="37">
    <w:name w:val="发布日期"/>
    <w:qFormat/>
    <w:uiPriority w:val="99"/>
    <w:pPr>
      <w:framePr w:w="3997" w:h="471" w:hRule="exact" w:vSpace="181" w:wrap="around" w:vAnchor="margin" w:hAnchor="page" w:x="7089" w:y="14097" w:anchorLock="1"/>
    </w:pPr>
    <w:rPr>
      <w:rFonts w:ascii="Times New Roman" w:hAnsi="Times New Roman" w:eastAsia="黑体" w:cs="Times New Roman"/>
      <w:sz w:val="28"/>
      <w:lang w:val="en-US" w:eastAsia="zh-CN" w:bidi="ar-SA"/>
    </w:rPr>
  </w:style>
  <w:style w:type="paragraph" w:customStyle="1" w:styleId="38">
    <w:name w:val="其他实施日期"/>
    <w:basedOn w:val="39"/>
    <w:qFormat/>
    <w:uiPriority w:val="99"/>
  </w:style>
  <w:style w:type="paragraph" w:customStyle="1" w:styleId="39">
    <w:name w:val="实施日期"/>
    <w:basedOn w:val="37"/>
    <w:qFormat/>
    <w:uiPriority w:val="99"/>
    <w:pPr>
      <w:framePr w:vAnchor="page" w:hAnchor="page"/>
      <w:jc w:val="right"/>
    </w:pPr>
  </w:style>
  <w:style w:type="paragraph" w:customStyle="1" w:styleId="40">
    <w:name w:val="其他发布部门"/>
    <w:basedOn w:val="41"/>
    <w:qFormat/>
    <w:uiPriority w:val="99"/>
    <w:pPr>
      <w:framePr w:y="15310"/>
      <w:spacing w:line="0" w:lineRule="atLeast"/>
    </w:pPr>
    <w:rPr>
      <w:rFonts w:ascii="黑体" w:eastAsia="黑体"/>
      <w:b w:val="0"/>
    </w:rPr>
  </w:style>
  <w:style w:type="paragraph" w:customStyle="1" w:styleId="41">
    <w:name w:val="发布部门"/>
    <w:next w:val="42"/>
    <w:qFormat/>
    <w:uiPriority w:val="99"/>
    <w:pPr>
      <w:framePr w:w="7938" w:h="1134" w:hRule="exact" w:hSpace="125" w:vSpace="181" w:wrap="around" w:vAnchor="page" w:hAnchor="page" w:x="2150" w:y="14630" w:anchorLock="1"/>
      <w:jc w:val="center"/>
    </w:pPr>
    <w:rPr>
      <w:rFonts w:ascii="宋体" w:hAnsi="Times New Roman" w:eastAsia="宋体" w:cs="Times New Roman"/>
      <w:b/>
      <w:spacing w:val="20"/>
      <w:w w:val="135"/>
      <w:sz w:val="28"/>
      <w:lang w:val="en-US" w:eastAsia="zh-CN" w:bidi="ar-SA"/>
    </w:rPr>
  </w:style>
  <w:style w:type="paragraph" w:customStyle="1" w:styleId="42">
    <w:name w:val="段"/>
    <w:qFormat/>
    <w:uiPriority w:val="0"/>
    <w:pPr>
      <w:tabs>
        <w:tab w:val="center" w:pos="4201"/>
        <w:tab w:val="right" w:leader="dot" w:pos="9298"/>
      </w:tabs>
      <w:autoSpaceDE w:val="0"/>
      <w:autoSpaceDN w:val="0"/>
      <w:ind w:firstLine="420" w:firstLineChars="200"/>
      <w:jc w:val="both"/>
    </w:pPr>
    <w:rPr>
      <w:rFonts w:ascii="宋体" w:hAnsi="Times New Roman" w:eastAsia="宋体" w:cs="Times New Roman"/>
      <w:sz w:val="21"/>
      <w:lang w:val="en-US" w:eastAsia="zh-CN" w:bidi="ar-SA"/>
    </w:rPr>
  </w:style>
  <w:style w:type="character" w:customStyle="1" w:styleId="43">
    <w:name w:val="发布"/>
    <w:qFormat/>
    <w:uiPriority w:val="99"/>
    <w:rPr>
      <w:rFonts w:ascii="黑体" w:eastAsia="黑体"/>
      <w:spacing w:val="85"/>
      <w:w w:val="100"/>
      <w:position w:val="3"/>
      <w:sz w:val="28"/>
      <w:szCs w:val="28"/>
    </w:rPr>
  </w:style>
  <w:style w:type="paragraph" w:customStyle="1" w:styleId="44">
    <w:name w:val="目次、标准名称标题"/>
    <w:basedOn w:val="1"/>
    <w:next w:val="42"/>
    <w:qFormat/>
    <w:uiPriority w:val="99"/>
    <w:pPr>
      <w:keepNext/>
      <w:pageBreakBefore/>
      <w:widowControl/>
      <w:shd w:val="clear" w:color="FFFFFF" w:fill="FFFFFF"/>
      <w:spacing w:before="640" w:after="560" w:line="460" w:lineRule="exact"/>
      <w:jc w:val="center"/>
      <w:outlineLvl w:val="0"/>
    </w:pPr>
    <w:rPr>
      <w:rFonts w:ascii="黑体" w:eastAsia="黑体"/>
      <w:kern w:val="0"/>
      <w:sz w:val="32"/>
      <w:szCs w:val="20"/>
    </w:rPr>
  </w:style>
  <w:style w:type="paragraph" w:customStyle="1" w:styleId="45">
    <w:name w:val="前言、引言标题"/>
    <w:next w:val="42"/>
    <w:qFormat/>
    <w:uiPriority w:val="99"/>
    <w:pPr>
      <w:keepNext/>
      <w:pageBreakBefore/>
      <w:shd w:val="clear" w:color="FFFFFF" w:fill="FFFFFF"/>
      <w:spacing w:before="640" w:after="560"/>
      <w:jc w:val="center"/>
      <w:outlineLvl w:val="0"/>
    </w:pPr>
    <w:rPr>
      <w:rFonts w:ascii="黑体" w:hAnsi="Times New Roman" w:eastAsia="黑体" w:cs="Times New Roman"/>
      <w:sz w:val="32"/>
      <w:lang w:val="en-US" w:eastAsia="zh-CN" w:bidi="ar-SA"/>
    </w:rPr>
  </w:style>
  <w:style w:type="paragraph" w:customStyle="1" w:styleId="46">
    <w:name w:val="标准书眉_奇数页"/>
    <w:next w:val="1"/>
    <w:qFormat/>
    <w:uiPriority w:val="99"/>
    <w:pPr>
      <w:tabs>
        <w:tab w:val="center" w:pos="4154"/>
        <w:tab w:val="right" w:pos="8306"/>
      </w:tabs>
      <w:spacing w:after="220"/>
      <w:jc w:val="right"/>
    </w:pPr>
    <w:rPr>
      <w:rFonts w:ascii="黑体" w:hAnsi="Times New Roman" w:eastAsia="黑体" w:cs="Times New Roman"/>
      <w:sz w:val="21"/>
      <w:szCs w:val="21"/>
      <w:lang w:val="en-US" w:eastAsia="zh-CN" w:bidi="ar-SA"/>
    </w:rPr>
  </w:style>
  <w:style w:type="paragraph" w:customStyle="1" w:styleId="47">
    <w:name w:val="标准书脚_奇数页"/>
    <w:uiPriority w:val="99"/>
    <w:pPr>
      <w:spacing w:before="120"/>
      <w:ind w:right="198"/>
      <w:jc w:val="right"/>
    </w:pPr>
    <w:rPr>
      <w:rFonts w:ascii="宋体" w:hAnsi="Times New Roman" w:eastAsia="宋体" w:cs="Times New Roman"/>
      <w:sz w:val="18"/>
      <w:szCs w:val="18"/>
      <w:lang w:val="en-US" w:eastAsia="zh-CN" w:bidi="ar-SA"/>
    </w:rPr>
  </w:style>
  <w:style w:type="paragraph" w:customStyle="1" w:styleId="48">
    <w:name w:val="章标题"/>
    <w:next w:val="42"/>
    <w:uiPriority w:val="0"/>
    <w:pPr>
      <w:numPr>
        <w:ilvl w:val="0"/>
        <w:numId w:val="1"/>
      </w:numPr>
      <w:spacing w:before="312" w:beforeLines="100" w:after="312" w:afterLines="100"/>
      <w:jc w:val="both"/>
      <w:outlineLvl w:val="1"/>
    </w:pPr>
    <w:rPr>
      <w:rFonts w:ascii="黑体" w:hAnsi="Times New Roman" w:eastAsia="黑体" w:cs="Times New Roman"/>
      <w:sz w:val="21"/>
      <w:lang w:val="en-US" w:eastAsia="zh-CN" w:bidi="ar-SA"/>
    </w:rPr>
  </w:style>
  <w:style w:type="paragraph" w:customStyle="1" w:styleId="49">
    <w:name w:val="一级条标题"/>
    <w:next w:val="42"/>
    <w:qFormat/>
    <w:uiPriority w:val="0"/>
    <w:pPr>
      <w:numPr>
        <w:ilvl w:val="1"/>
        <w:numId w:val="1"/>
      </w:numPr>
      <w:spacing w:before="156" w:beforeLines="50" w:after="156" w:afterLines="50"/>
      <w:outlineLvl w:val="2"/>
    </w:pPr>
    <w:rPr>
      <w:rFonts w:ascii="黑体" w:hAnsi="Times New Roman" w:eastAsia="黑体" w:cs="Times New Roman"/>
      <w:sz w:val="21"/>
      <w:szCs w:val="21"/>
      <w:lang w:val="en-US" w:eastAsia="zh-CN" w:bidi="ar-SA"/>
    </w:rPr>
  </w:style>
  <w:style w:type="paragraph" w:customStyle="1" w:styleId="50">
    <w:name w:val="二级无"/>
    <w:basedOn w:val="51"/>
    <w:qFormat/>
    <w:uiPriority w:val="0"/>
    <w:pPr>
      <w:spacing w:before="0" w:beforeLines="0" w:after="0" w:afterLines="0"/>
    </w:pPr>
    <w:rPr>
      <w:rFonts w:ascii="宋体" w:eastAsia="宋体"/>
    </w:rPr>
  </w:style>
  <w:style w:type="paragraph" w:customStyle="1" w:styleId="51">
    <w:name w:val="二级条标题"/>
    <w:basedOn w:val="49"/>
    <w:next w:val="42"/>
    <w:qFormat/>
    <w:uiPriority w:val="0"/>
    <w:pPr>
      <w:numPr>
        <w:ilvl w:val="2"/>
        <w:numId w:val="1"/>
      </w:numPr>
      <w:spacing w:before="50" w:after="50"/>
      <w:outlineLvl w:val="3"/>
    </w:pPr>
  </w:style>
  <w:style w:type="paragraph" w:customStyle="1" w:styleId="52">
    <w:name w:val="列项——（一级）"/>
    <w:qFormat/>
    <w:uiPriority w:val="0"/>
    <w:pPr>
      <w:widowControl w:val="0"/>
      <w:numPr>
        <w:ilvl w:val="0"/>
        <w:numId w:val="2"/>
      </w:numPr>
      <w:jc w:val="both"/>
    </w:pPr>
    <w:rPr>
      <w:rFonts w:ascii="宋体" w:hAnsi="Times New Roman" w:eastAsia="宋体" w:cs="Times New Roman"/>
      <w:sz w:val="21"/>
      <w:lang w:val="en-US" w:eastAsia="zh-CN" w:bidi="ar-SA"/>
    </w:rPr>
  </w:style>
  <w:style w:type="paragraph" w:customStyle="1" w:styleId="53">
    <w:name w:val="正文表标题"/>
    <w:next w:val="42"/>
    <w:qFormat/>
    <w:uiPriority w:val="99"/>
    <w:pPr>
      <w:numPr>
        <w:ilvl w:val="0"/>
        <w:numId w:val="3"/>
      </w:numPr>
      <w:tabs>
        <w:tab w:val="left" w:pos="360"/>
      </w:tabs>
      <w:spacing w:before="156" w:beforeLines="50" w:after="156" w:afterLines="50"/>
      <w:jc w:val="center"/>
    </w:pPr>
    <w:rPr>
      <w:rFonts w:ascii="黑体" w:hAnsi="Times New Roman" w:eastAsia="黑体" w:cs="Times New Roman"/>
      <w:sz w:val="21"/>
      <w:lang w:val="en-US" w:eastAsia="zh-CN" w:bidi="ar-SA"/>
    </w:rPr>
  </w:style>
  <w:style w:type="paragraph" w:customStyle="1" w:styleId="54">
    <w:name w:val="三级无"/>
    <w:basedOn w:val="55"/>
    <w:qFormat/>
    <w:uiPriority w:val="0"/>
    <w:pPr>
      <w:spacing w:before="0" w:beforeLines="0" w:after="0" w:afterLines="0"/>
    </w:pPr>
    <w:rPr>
      <w:rFonts w:ascii="宋体" w:eastAsia="宋体"/>
    </w:rPr>
  </w:style>
  <w:style w:type="paragraph" w:customStyle="1" w:styleId="55">
    <w:name w:val="三级条标题"/>
    <w:basedOn w:val="51"/>
    <w:next w:val="42"/>
    <w:qFormat/>
    <w:uiPriority w:val="99"/>
    <w:pPr>
      <w:numPr>
        <w:ilvl w:val="3"/>
        <w:numId w:val="1"/>
      </w:numPr>
      <w:outlineLvl w:val="4"/>
    </w:pPr>
  </w:style>
  <w:style w:type="paragraph" w:customStyle="1" w:styleId="56">
    <w:name w:val="附录标识"/>
    <w:basedOn w:val="1"/>
    <w:next w:val="42"/>
    <w:qFormat/>
    <w:uiPriority w:val="0"/>
    <w:pPr>
      <w:keepNext/>
      <w:widowControl/>
      <w:numPr>
        <w:ilvl w:val="0"/>
        <w:numId w:val="4"/>
      </w:numPr>
      <w:shd w:val="clear" w:color="FFFFFF" w:fill="FFFFFF"/>
      <w:tabs>
        <w:tab w:val="left" w:pos="360"/>
        <w:tab w:val="left" w:pos="6405"/>
      </w:tabs>
      <w:spacing w:before="640" w:after="280"/>
      <w:jc w:val="center"/>
      <w:outlineLvl w:val="0"/>
    </w:pPr>
    <w:rPr>
      <w:rFonts w:ascii="黑体" w:eastAsia="黑体"/>
      <w:kern w:val="0"/>
      <w:szCs w:val="20"/>
    </w:rPr>
  </w:style>
  <w:style w:type="paragraph" w:customStyle="1" w:styleId="57">
    <w:name w:val="附录表标号"/>
    <w:basedOn w:val="1"/>
    <w:next w:val="42"/>
    <w:qFormat/>
    <w:uiPriority w:val="99"/>
    <w:pPr>
      <w:numPr>
        <w:ilvl w:val="0"/>
        <w:numId w:val="5"/>
      </w:numPr>
      <w:tabs>
        <w:tab w:val="clear" w:pos="0"/>
      </w:tabs>
      <w:spacing w:line="14" w:lineRule="exact"/>
      <w:ind w:left="811" w:hanging="448"/>
      <w:jc w:val="center"/>
      <w:outlineLvl w:val="0"/>
    </w:pPr>
    <w:rPr>
      <w:color w:val="FFFFFF"/>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customXml" Target="../customXml/item2.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11.jpeg"/><Relationship Id="rId15" Type="http://schemas.openxmlformats.org/officeDocument/2006/relationships/image" Target="media/image10.pn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A4F8DBE-41E1-4617-B42A-324CE0DCB542}">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21</Pages>
  <Words>2180</Words>
  <Characters>12432</Characters>
  <Lines>103</Lines>
  <Paragraphs>29</Paragraphs>
  <TotalTime>4</TotalTime>
  <ScaleCrop>false</ScaleCrop>
  <LinksUpToDate>false</LinksUpToDate>
  <CharactersWithSpaces>14583</CharactersWithSpaces>
  <Application>WPS Office_11.1.0.9440_F1E327BC-269C-435d-A152-05C5408002CA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2015-08-29T01:04:00Z</dcterms:created>
  <dc:creator>gjsdxj</dc:creator>
  <cp:lastModifiedBy>尚斐</cp:lastModifiedBy>
  <dcterms:modified xsi:type="dcterms:W3CDTF">2020-04-24T02:08:52Z</dcterms:modified>
  <cp:revision>16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2052-11.1.0.9440</vt:lpwstr>
  </property>
</Properties>
</file>