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2023年会员大会暨第五届理事会一次会议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参会人员反馈表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</w:p>
    <w:tbl>
      <w:tblPr>
        <w:tblStyle w:val="2"/>
        <w:tblW w:w="10155" w:type="dxa"/>
        <w:tblInd w:w="-8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210"/>
        <w:gridCol w:w="1558"/>
        <w:gridCol w:w="2268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tabs>
          <w:tab w:val="left" w:pos="720"/>
        </w:tabs>
        <w:spacing w:before="0" w:beforeAutospacing="0" w:after="0" w:afterAutospacing="0" w:line="560" w:lineRule="exact"/>
        <w:ind w:left="0" w:right="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</w:p>
    <w:p/>
    <w:sectPr>
      <w:pgSz w:w="12240" w:h="15840" w:orient="landscape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OTZlNDA1MTZmYzBhOGE5NmRmMmUwZTgyOGMyZTUifQ=="/>
  </w:docVars>
  <w:rsids>
    <w:rsidRoot w:val="00000000"/>
    <w:rsid w:val="407A62A7"/>
    <w:rsid w:val="5F1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2023-11-29T07:00:43Z</dcterms:created>
  <dc:creator>86182</dc:creator>
  <cp:lastModifiedBy>尚斐</cp:lastModifiedBy>
  <dcterms:modified xsi:type="dcterms:W3CDTF">2023-11-29T07:32:53Z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3BA49AE3517C44F3BDBF9EB60E96A72A_13</vt:lpwstr>
  </property>
</Properties>
</file>